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9FD69" w14:textId="5F628EBC" w:rsidR="00EF3E61" w:rsidRPr="00141590" w:rsidRDefault="00B54EFD" w:rsidP="00AC14CE">
      <w:pPr>
        <w:ind w:hanging="540"/>
        <w:rPr>
          <w:rFonts w:ascii="Calibri" w:hAnsi="Calibri" w:cs="Calibri"/>
        </w:rPr>
      </w:pPr>
      <w:r w:rsidRPr="00141590">
        <w:rPr>
          <w:rFonts w:ascii="Calibri" w:hAnsi="Calibri" w:cs="Calibri"/>
          <w:noProof/>
        </w:rPr>
        <w:drawing>
          <wp:inline distT="0" distB="0" distL="0" distR="0" wp14:anchorId="752C8BA1" wp14:editId="7C33842C">
            <wp:extent cx="106680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857250"/>
                    </a:xfrm>
                    <a:prstGeom prst="rect">
                      <a:avLst/>
                    </a:prstGeom>
                    <a:noFill/>
                    <a:ln>
                      <a:noFill/>
                    </a:ln>
                  </pic:spPr>
                </pic:pic>
              </a:graphicData>
            </a:graphic>
          </wp:inline>
        </w:drawing>
      </w:r>
    </w:p>
    <w:p w14:paraId="5C3B7099" w14:textId="77777777" w:rsidR="002D6552" w:rsidRPr="00141590" w:rsidRDefault="002D6552" w:rsidP="00AC14CE">
      <w:pPr>
        <w:ind w:hanging="540"/>
        <w:rPr>
          <w:rFonts w:ascii="Calibri" w:hAnsi="Calibri" w:cs="Calibri"/>
        </w:rPr>
      </w:pPr>
    </w:p>
    <w:p w14:paraId="6F5B740C" w14:textId="77777777" w:rsidR="00574FBB" w:rsidRPr="00141590" w:rsidRDefault="00574FBB" w:rsidP="00574FBB">
      <w:pPr>
        <w:rPr>
          <w:rFonts w:ascii="Calibri" w:hAnsi="Calibri" w:cs="Calibri"/>
        </w:rPr>
      </w:pPr>
    </w:p>
    <w:p w14:paraId="227FE1BA" w14:textId="67755514" w:rsidR="00400ED7" w:rsidRPr="00141590" w:rsidRDefault="000003AD" w:rsidP="00400ED7">
      <w:pPr>
        <w:rPr>
          <w:rFonts w:ascii="Calibri" w:hAnsi="Calibri" w:cs="Calibri"/>
        </w:rPr>
      </w:pPr>
      <w:r>
        <w:rPr>
          <w:rFonts w:ascii="Calibri" w:hAnsi="Calibri" w:cs="Calibri"/>
        </w:rPr>
        <w:t>19 October</w:t>
      </w:r>
      <w:r w:rsidR="00A25EE6" w:rsidRPr="00141590">
        <w:rPr>
          <w:rFonts w:ascii="Calibri" w:hAnsi="Calibri" w:cs="Calibri"/>
        </w:rPr>
        <w:t xml:space="preserve"> 2020</w:t>
      </w:r>
    </w:p>
    <w:p w14:paraId="1F036FAB" w14:textId="77777777" w:rsidR="00400ED7" w:rsidRPr="00141590" w:rsidRDefault="00400ED7" w:rsidP="00400ED7">
      <w:pPr>
        <w:rPr>
          <w:rFonts w:ascii="Calibri" w:hAnsi="Calibri" w:cs="Calibri"/>
        </w:rPr>
      </w:pPr>
    </w:p>
    <w:p w14:paraId="61DFB774" w14:textId="77777777" w:rsidR="00400ED7" w:rsidRPr="00141590" w:rsidRDefault="00765396" w:rsidP="00400ED7">
      <w:pPr>
        <w:tabs>
          <w:tab w:val="right" w:pos="8550"/>
        </w:tabs>
        <w:rPr>
          <w:rFonts w:ascii="Calibri" w:hAnsi="Calibri" w:cs="Calibri"/>
        </w:rPr>
      </w:pPr>
      <w:r w:rsidRPr="00141590">
        <w:rPr>
          <w:rFonts w:ascii="Calibri" w:hAnsi="Calibri" w:cs="Calibri"/>
        </w:rPr>
        <w:t>Claude Doucet</w:t>
      </w:r>
      <w:r w:rsidR="00400ED7" w:rsidRPr="00141590">
        <w:rPr>
          <w:rFonts w:ascii="Calibri" w:hAnsi="Calibri" w:cs="Calibri"/>
        </w:rPr>
        <w:t xml:space="preserve"> </w:t>
      </w:r>
      <w:r w:rsidR="00400ED7" w:rsidRPr="00141590">
        <w:rPr>
          <w:rFonts w:ascii="Calibri" w:hAnsi="Calibri" w:cs="Calibri"/>
        </w:rPr>
        <w:tab/>
      </w:r>
      <w:r w:rsidR="00A25EE6" w:rsidRPr="00141590">
        <w:rPr>
          <w:rFonts w:ascii="Calibri" w:hAnsi="Calibri" w:cs="Calibri"/>
        </w:rPr>
        <w:t>Via GC Key</w:t>
      </w:r>
    </w:p>
    <w:p w14:paraId="5E8DD027" w14:textId="77777777" w:rsidR="00400ED7" w:rsidRPr="00141590" w:rsidRDefault="00400ED7" w:rsidP="00A25EE6">
      <w:pPr>
        <w:tabs>
          <w:tab w:val="right" w:pos="8550"/>
        </w:tabs>
        <w:rPr>
          <w:rFonts w:ascii="Calibri" w:hAnsi="Calibri" w:cs="Calibri"/>
        </w:rPr>
      </w:pPr>
      <w:r w:rsidRPr="00141590">
        <w:rPr>
          <w:rFonts w:ascii="Calibri" w:hAnsi="Calibri" w:cs="Calibri"/>
        </w:rPr>
        <w:t>Secretary General</w:t>
      </w:r>
      <w:r w:rsidR="00A25EE6" w:rsidRPr="00141590">
        <w:rPr>
          <w:rFonts w:ascii="Calibri" w:hAnsi="Calibri" w:cs="Calibri"/>
        </w:rPr>
        <w:tab/>
      </w:r>
    </w:p>
    <w:p w14:paraId="01776168" w14:textId="77777777" w:rsidR="00400ED7" w:rsidRPr="00141590" w:rsidRDefault="00400ED7" w:rsidP="00400ED7">
      <w:pPr>
        <w:rPr>
          <w:rFonts w:ascii="Calibri" w:hAnsi="Calibri" w:cs="Calibri"/>
        </w:rPr>
      </w:pPr>
      <w:r w:rsidRPr="00141590">
        <w:rPr>
          <w:rFonts w:ascii="Calibri" w:hAnsi="Calibri" w:cs="Calibri"/>
        </w:rPr>
        <w:t>CRTC</w:t>
      </w:r>
    </w:p>
    <w:p w14:paraId="5BE08236" w14:textId="77777777" w:rsidR="00400ED7" w:rsidRPr="00141590" w:rsidRDefault="00400ED7" w:rsidP="00400ED7">
      <w:pPr>
        <w:rPr>
          <w:rFonts w:ascii="Calibri" w:hAnsi="Calibri" w:cs="Calibri"/>
        </w:rPr>
      </w:pPr>
      <w:r w:rsidRPr="00141590">
        <w:rPr>
          <w:rFonts w:ascii="Calibri" w:hAnsi="Calibri" w:cs="Calibri"/>
        </w:rPr>
        <w:t>Ottawa, ON  K1A 0N2</w:t>
      </w:r>
    </w:p>
    <w:p w14:paraId="4EF02AA2" w14:textId="77777777" w:rsidR="00400ED7" w:rsidRPr="00141590" w:rsidRDefault="00400ED7" w:rsidP="00400ED7">
      <w:pPr>
        <w:rPr>
          <w:rFonts w:ascii="Calibri" w:hAnsi="Calibri" w:cs="Calibri"/>
        </w:rPr>
      </w:pPr>
    </w:p>
    <w:p w14:paraId="6EA0660F" w14:textId="77777777" w:rsidR="00400ED7" w:rsidRPr="00141590" w:rsidRDefault="00400ED7" w:rsidP="00400ED7">
      <w:pPr>
        <w:rPr>
          <w:rFonts w:ascii="Calibri" w:hAnsi="Calibri" w:cs="Calibri"/>
        </w:rPr>
      </w:pPr>
      <w:r w:rsidRPr="00141590">
        <w:rPr>
          <w:rFonts w:ascii="Calibri" w:hAnsi="Calibri" w:cs="Calibri"/>
        </w:rPr>
        <w:t>Dear Secretary General,</w:t>
      </w:r>
    </w:p>
    <w:p w14:paraId="1A784C28" w14:textId="77777777" w:rsidR="00400ED7" w:rsidRPr="00141590" w:rsidRDefault="00400ED7" w:rsidP="00400ED7">
      <w:pPr>
        <w:rPr>
          <w:rFonts w:ascii="Calibri" w:hAnsi="Calibri" w:cs="Calibri"/>
        </w:rPr>
      </w:pPr>
    </w:p>
    <w:p w14:paraId="140E5401" w14:textId="17BCD9F0" w:rsidR="00FC24EF" w:rsidRPr="00141590" w:rsidRDefault="00400ED7" w:rsidP="000003AD">
      <w:pPr>
        <w:ind w:left="720"/>
        <w:rPr>
          <w:rFonts w:ascii="Calibri" w:hAnsi="Calibri" w:cs="Calibri"/>
        </w:rPr>
      </w:pPr>
      <w:r w:rsidRPr="00141590">
        <w:rPr>
          <w:rFonts w:ascii="Calibri" w:hAnsi="Calibri" w:cs="Calibri"/>
          <w:b/>
        </w:rPr>
        <w:t xml:space="preserve">Re:  </w:t>
      </w:r>
      <w:r w:rsidR="000003AD" w:rsidRPr="000003AD">
        <w:rPr>
          <w:rFonts w:ascii="Calibri" w:hAnsi="Calibri" w:cs="Calibri"/>
          <w:b/>
          <w:bCs/>
          <w:i/>
        </w:rPr>
        <w:t>Call for comments on an application by the Canadian Association of Broadcasters requesting regulatory relief for Canadian broadcasters in regard to the COVID-19 pandemic</w:t>
      </w:r>
      <w:r w:rsidR="000003AD">
        <w:rPr>
          <w:rFonts w:ascii="Calibri" w:hAnsi="Calibri" w:cs="Calibri"/>
          <w:b/>
          <w:bCs/>
          <w:iCs/>
        </w:rPr>
        <w:t xml:space="preserve">, </w:t>
      </w:r>
      <w:r w:rsidR="00A25EE6" w:rsidRPr="00141590">
        <w:rPr>
          <w:rFonts w:ascii="Calibri" w:hAnsi="Calibri" w:cs="Calibri"/>
          <w:b/>
        </w:rPr>
        <w:t>Broadcasting Notice of Consultation CRTC 2020-</w:t>
      </w:r>
      <w:r w:rsidR="000003AD">
        <w:rPr>
          <w:rFonts w:ascii="Calibri" w:hAnsi="Calibri" w:cs="Calibri"/>
          <w:b/>
        </w:rPr>
        <w:t>336 (Ottawa, 17 September 2020</w:t>
      </w:r>
      <w:r w:rsidR="00A25EE6" w:rsidRPr="00141590">
        <w:rPr>
          <w:rFonts w:ascii="Calibri" w:hAnsi="Calibri" w:cs="Calibri"/>
          <w:b/>
        </w:rPr>
        <w:t xml:space="preserve">), </w:t>
      </w:r>
      <w:r w:rsidR="000003AD" w:rsidRPr="000003AD">
        <w:rPr>
          <w:rFonts w:ascii="Calibri" w:hAnsi="Calibri" w:cs="Calibri"/>
          <w:b/>
        </w:rPr>
        <w:t>https://crtc.gc.ca/eng/archive/2020/2020-336.htm?_ga=2.20536190.73343484.1600965043-1211976415.1582553073</w:t>
      </w:r>
    </w:p>
    <w:p w14:paraId="04B96A0E" w14:textId="77777777" w:rsidR="00B535F9" w:rsidRPr="00141590" w:rsidRDefault="00B535F9" w:rsidP="00574FBB">
      <w:pPr>
        <w:rPr>
          <w:rFonts w:ascii="Calibri" w:hAnsi="Calibri" w:cs="Calibri"/>
        </w:rPr>
      </w:pPr>
    </w:p>
    <w:p w14:paraId="58265DB2" w14:textId="38D42FCF" w:rsidR="002D6552" w:rsidRPr="00141590" w:rsidRDefault="00D57F16" w:rsidP="00574FBB">
      <w:pPr>
        <w:rPr>
          <w:rFonts w:ascii="Calibri" w:hAnsi="Calibri" w:cs="Calibri"/>
        </w:rPr>
      </w:pPr>
      <w:r w:rsidRPr="00141590">
        <w:rPr>
          <w:rFonts w:ascii="Calibri" w:hAnsi="Calibri" w:cs="Calibri"/>
        </w:rPr>
        <w:t>The Forum for Research and Policy in Communications (FRPC) is pleased to submit its comments in the above-noted proceeding</w:t>
      </w:r>
      <w:r w:rsidR="000003AD">
        <w:rPr>
          <w:rFonts w:ascii="Calibri" w:hAnsi="Calibri" w:cs="Calibri"/>
        </w:rPr>
        <w:t>; if the CRTC decides to hold a public hearing the Forum would appreciate the opportunity to appear.</w:t>
      </w:r>
    </w:p>
    <w:p w14:paraId="52E561DC" w14:textId="77777777" w:rsidR="00D57F16" w:rsidRPr="00141590" w:rsidRDefault="00D57F16" w:rsidP="00574FBB">
      <w:pPr>
        <w:rPr>
          <w:rFonts w:ascii="Calibri" w:hAnsi="Calibri" w:cs="Calibri"/>
        </w:rPr>
      </w:pPr>
    </w:p>
    <w:p w14:paraId="44E819DA" w14:textId="77777777" w:rsidR="00D57F16" w:rsidRPr="00141590" w:rsidRDefault="00D57F16" w:rsidP="00574FBB">
      <w:pPr>
        <w:rPr>
          <w:rFonts w:ascii="Calibri" w:hAnsi="Calibri" w:cs="Calibri"/>
        </w:rPr>
      </w:pPr>
      <w:r w:rsidRPr="00141590">
        <w:rPr>
          <w:rFonts w:ascii="Calibri" w:hAnsi="Calibri" w:cs="Calibri"/>
        </w:rPr>
        <w:t>If you have any questions or encounter any difficulty in opening the document, please contact the undersigned</w:t>
      </w:r>
    </w:p>
    <w:p w14:paraId="17348D60" w14:textId="77777777" w:rsidR="00D57F16" w:rsidRPr="00141590" w:rsidRDefault="00D57F16" w:rsidP="00574FBB">
      <w:pPr>
        <w:rPr>
          <w:rFonts w:ascii="Calibri" w:hAnsi="Calibri" w:cs="Calibri"/>
        </w:rPr>
      </w:pPr>
    </w:p>
    <w:p w14:paraId="562052CC" w14:textId="77777777" w:rsidR="00D57F16" w:rsidRPr="00141590" w:rsidRDefault="00D57F16" w:rsidP="00574FBB">
      <w:pPr>
        <w:rPr>
          <w:rFonts w:ascii="Calibri" w:hAnsi="Calibri" w:cs="Calibri"/>
        </w:rPr>
      </w:pPr>
      <w:r w:rsidRPr="00141590">
        <w:rPr>
          <w:rFonts w:ascii="Calibri" w:hAnsi="Calibri" w:cs="Calibri"/>
        </w:rPr>
        <w:t>Sincerely yours,</w:t>
      </w:r>
    </w:p>
    <w:p w14:paraId="31153B6B" w14:textId="77777777" w:rsidR="00D57F16" w:rsidRPr="00141590" w:rsidRDefault="00D57F16" w:rsidP="00574FBB">
      <w:pPr>
        <w:rPr>
          <w:rFonts w:ascii="Calibri" w:hAnsi="Calibri" w:cs="Calibri"/>
        </w:rPr>
      </w:pPr>
    </w:p>
    <w:p w14:paraId="16955383" w14:textId="2201C195" w:rsidR="00D57F16" w:rsidRPr="00141590" w:rsidRDefault="00B54EFD" w:rsidP="00D57F16">
      <w:pPr>
        <w:ind w:hanging="360"/>
        <w:rPr>
          <w:rFonts w:ascii="Calibri" w:hAnsi="Calibri" w:cs="Calibri"/>
        </w:rPr>
      </w:pPr>
      <w:r w:rsidRPr="00141590">
        <w:rPr>
          <w:rFonts w:ascii="Calibri" w:hAnsi="Calibri" w:cs="Calibri"/>
          <w:noProof/>
          <w:szCs w:val="22"/>
        </w:rPr>
        <w:drawing>
          <wp:inline distT="0" distB="0" distL="0" distR="0" wp14:anchorId="275F9C8E" wp14:editId="500D1C41">
            <wp:extent cx="1536700" cy="6096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0" cy="609600"/>
                    </a:xfrm>
                    <a:prstGeom prst="rect">
                      <a:avLst/>
                    </a:prstGeom>
                    <a:noFill/>
                    <a:ln>
                      <a:noFill/>
                    </a:ln>
                  </pic:spPr>
                </pic:pic>
              </a:graphicData>
            </a:graphic>
          </wp:inline>
        </w:drawing>
      </w:r>
    </w:p>
    <w:p w14:paraId="79B181AF" w14:textId="77777777" w:rsidR="00670169" w:rsidRPr="00141590" w:rsidRDefault="00D57F16" w:rsidP="00D57F16">
      <w:pPr>
        <w:rPr>
          <w:rFonts w:ascii="Calibri" w:hAnsi="Calibri" w:cs="Calibri"/>
        </w:rPr>
      </w:pPr>
      <w:r w:rsidRPr="00141590">
        <w:rPr>
          <w:rFonts w:ascii="Calibri" w:hAnsi="Calibri" w:cs="Calibri"/>
        </w:rPr>
        <w:t xml:space="preserve">Monica L. Auer, </w:t>
      </w:r>
      <w:r w:rsidR="00670169" w:rsidRPr="00141590">
        <w:rPr>
          <w:rFonts w:ascii="Calibri" w:hAnsi="Calibri" w:cs="Calibri"/>
        </w:rPr>
        <w:t>M.A., LL.M.</w:t>
      </w:r>
      <w:r w:rsidR="00670169" w:rsidRPr="00141590">
        <w:rPr>
          <w:rFonts w:ascii="Calibri" w:hAnsi="Calibri" w:cs="Calibri"/>
        </w:rPr>
        <w:tab/>
      </w:r>
      <w:r w:rsidR="00670169" w:rsidRPr="00141590">
        <w:rPr>
          <w:rFonts w:ascii="Calibri" w:hAnsi="Calibri" w:cs="Calibri"/>
        </w:rPr>
        <w:tab/>
      </w:r>
      <w:r w:rsidR="00670169" w:rsidRPr="00141590">
        <w:rPr>
          <w:rFonts w:ascii="Calibri" w:hAnsi="Calibri" w:cs="Calibri"/>
        </w:rPr>
        <w:tab/>
      </w:r>
      <w:r w:rsidR="00670169" w:rsidRPr="00141590">
        <w:rPr>
          <w:rFonts w:ascii="Calibri" w:hAnsi="Calibri" w:cs="Calibri"/>
        </w:rPr>
        <w:tab/>
      </w:r>
      <w:r w:rsidR="00670169" w:rsidRPr="00141590">
        <w:rPr>
          <w:rFonts w:ascii="Calibri" w:hAnsi="Calibri" w:cs="Calibri"/>
        </w:rPr>
        <w:tab/>
      </w:r>
      <w:hyperlink r:id="rId10" w:history="1">
        <w:r w:rsidR="00670169" w:rsidRPr="00141590">
          <w:rPr>
            <w:rStyle w:val="Hyperlink"/>
            <w:rFonts w:ascii="Calibri" w:hAnsi="Calibri" w:cs="Calibri"/>
          </w:rPr>
          <w:t>execdir@frpc.net</w:t>
        </w:r>
      </w:hyperlink>
      <w:r w:rsidR="00670169" w:rsidRPr="00141590">
        <w:rPr>
          <w:rFonts w:ascii="Calibri" w:hAnsi="Calibri" w:cs="Calibri"/>
        </w:rPr>
        <w:t xml:space="preserve"> </w:t>
      </w:r>
    </w:p>
    <w:p w14:paraId="29C90026" w14:textId="77777777" w:rsidR="00670169" w:rsidRPr="00141590" w:rsidRDefault="00D57F16" w:rsidP="00D57F16">
      <w:pPr>
        <w:rPr>
          <w:rFonts w:ascii="Calibri" w:hAnsi="Calibri" w:cs="Calibri"/>
        </w:rPr>
      </w:pPr>
      <w:r w:rsidRPr="00141590">
        <w:rPr>
          <w:rFonts w:ascii="Calibri" w:hAnsi="Calibri" w:cs="Calibri"/>
        </w:rPr>
        <w:t>Executive Director</w:t>
      </w:r>
    </w:p>
    <w:p w14:paraId="1F178919" w14:textId="77777777" w:rsidR="00D57F16" w:rsidRPr="00141590" w:rsidRDefault="00D57F16" w:rsidP="00D57F16">
      <w:pPr>
        <w:rPr>
          <w:rFonts w:ascii="Calibri" w:hAnsi="Calibri" w:cs="Calibri"/>
        </w:rPr>
      </w:pPr>
      <w:r w:rsidRPr="00141590">
        <w:rPr>
          <w:rFonts w:ascii="Calibri" w:hAnsi="Calibri" w:cs="Calibri"/>
        </w:rPr>
        <w:t xml:space="preserve">Forum for Research and Policy in Communications </w:t>
      </w:r>
    </w:p>
    <w:p w14:paraId="64F34F02" w14:textId="77777777" w:rsidR="00A25EE6" w:rsidRPr="00141590" w:rsidRDefault="00670169" w:rsidP="00574FBB">
      <w:pPr>
        <w:rPr>
          <w:rFonts w:ascii="Calibri" w:hAnsi="Calibri" w:cs="Calibri"/>
        </w:rPr>
      </w:pPr>
      <w:r w:rsidRPr="00141590">
        <w:rPr>
          <w:rFonts w:ascii="Calibri" w:hAnsi="Calibri" w:cs="Calibri"/>
        </w:rPr>
        <w:t>Ottawa, Ontario</w:t>
      </w:r>
    </w:p>
    <w:p w14:paraId="652AF224" w14:textId="3B1EDFC5" w:rsidR="009635F6" w:rsidRDefault="009635F6" w:rsidP="00574FBB">
      <w:pPr>
        <w:rPr>
          <w:rFonts w:ascii="Calibri" w:hAnsi="Calibri" w:cs="Calibri"/>
        </w:rPr>
      </w:pPr>
    </w:p>
    <w:p w14:paraId="2A7B616F" w14:textId="7EF03EFA" w:rsidR="00352A14" w:rsidRDefault="00352A14" w:rsidP="00574FBB">
      <w:pPr>
        <w:rPr>
          <w:rFonts w:ascii="Calibri" w:hAnsi="Calibri" w:cs="Calibri"/>
        </w:rPr>
      </w:pPr>
      <w:r>
        <w:rPr>
          <w:rFonts w:ascii="Calibri" w:hAnsi="Calibri" w:cs="Calibri"/>
        </w:rPr>
        <w:t>c.</w:t>
      </w:r>
      <w:r>
        <w:rPr>
          <w:rFonts w:ascii="Calibri" w:hAnsi="Calibri" w:cs="Calibri"/>
        </w:rPr>
        <w:tab/>
        <w:t xml:space="preserve">Ms. Lenore Gibson, </w:t>
      </w:r>
    </w:p>
    <w:p w14:paraId="61AD033D" w14:textId="2B321D68" w:rsidR="00352A14" w:rsidRDefault="00352A14" w:rsidP="00574FBB">
      <w:pPr>
        <w:rPr>
          <w:rFonts w:ascii="Calibri" w:hAnsi="Calibri" w:cs="Calibri"/>
        </w:rPr>
      </w:pPr>
      <w:r>
        <w:rPr>
          <w:rFonts w:ascii="Calibri" w:hAnsi="Calibri" w:cs="Calibri"/>
        </w:rPr>
        <w:tab/>
        <w:t xml:space="preserve">Chair, Canadian Association of Broadcasters </w:t>
      </w:r>
    </w:p>
    <w:p w14:paraId="3C9EEDC2" w14:textId="36E31F42" w:rsidR="00291288" w:rsidRPr="00141590" w:rsidRDefault="00291288" w:rsidP="00574FBB">
      <w:pPr>
        <w:rPr>
          <w:rFonts w:ascii="Calibri" w:hAnsi="Calibri" w:cs="Calibri"/>
        </w:rPr>
      </w:pPr>
      <w:r>
        <w:rPr>
          <w:rFonts w:ascii="Calibri" w:hAnsi="Calibri" w:cs="Calibri"/>
        </w:rPr>
        <w:tab/>
        <w:t xml:space="preserve">Care of:  </w:t>
      </w:r>
      <w:r w:rsidRPr="00291288">
        <w:rPr>
          <w:rFonts w:ascii="Calibri" w:hAnsi="Calibri" w:cs="Calibri"/>
        </w:rPr>
        <w:t>sbissonnette@cab-acr.ca</w:t>
      </w:r>
    </w:p>
    <w:p w14:paraId="3B9836EE" w14:textId="77777777" w:rsidR="009635F6" w:rsidRPr="00141590" w:rsidRDefault="009635F6" w:rsidP="00574FBB">
      <w:pPr>
        <w:rPr>
          <w:rFonts w:ascii="Calibri" w:hAnsi="Calibri" w:cs="Calibri"/>
        </w:rPr>
        <w:sectPr w:rsidR="009635F6" w:rsidRPr="00141590" w:rsidSect="00AC14CE">
          <w:pgSz w:w="12240" w:h="15840"/>
          <w:pgMar w:top="720" w:right="1800" w:bottom="1440" w:left="1800" w:header="708" w:footer="708" w:gutter="0"/>
          <w:cols w:space="708"/>
          <w:docGrid w:linePitch="360"/>
        </w:sectPr>
      </w:pPr>
    </w:p>
    <w:p w14:paraId="598018DC" w14:textId="4448D25E" w:rsidR="00A25EE6" w:rsidRPr="00141590" w:rsidRDefault="00B54EFD" w:rsidP="00574FBB">
      <w:pPr>
        <w:rPr>
          <w:rFonts w:ascii="Calibri" w:hAnsi="Calibri" w:cs="Calibri"/>
        </w:rPr>
      </w:pPr>
      <w:r w:rsidRPr="00141590">
        <w:rPr>
          <w:rFonts w:ascii="Calibri" w:hAnsi="Calibri" w:cs="Calibri"/>
          <w:noProof/>
        </w:rPr>
        <w:lastRenderedPageBreak/>
        <w:drawing>
          <wp:inline distT="0" distB="0" distL="0" distR="0" wp14:anchorId="2ED029CC" wp14:editId="4ACD6281">
            <wp:extent cx="1479550" cy="1187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9550" cy="1187450"/>
                    </a:xfrm>
                    <a:prstGeom prst="rect">
                      <a:avLst/>
                    </a:prstGeom>
                    <a:noFill/>
                    <a:ln>
                      <a:noFill/>
                    </a:ln>
                  </pic:spPr>
                </pic:pic>
              </a:graphicData>
            </a:graphic>
          </wp:inline>
        </w:drawing>
      </w:r>
    </w:p>
    <w:p w14:paraId="224685F1" w14:textId="77777777" w:rsidR="00A25EE6" w:rsidRPr="00141590" w:rsidRDefault="00A25EE6" w:rsidP="00574FBB">
      <w:pPr>
        <w:rPr>
          <w:rFonts w:ascii="Calibri" w:hAnsi="Calibri" w:cs="Calibri"/>
        </w:rPr>
      </w:pPr>
    </w:p>
    <w:p w14:paraId="068D361C" w14:textId="77777777" w:rsidR="00A25EE6" w:rsidRPr="00141590" w:rsidRDefault="00A25EE6" w:rsidP="00574FBB">
      <w:pPr>
        <w:rPr>
          <w:rFonts w:ascii="Calibri" w:hAnsi="Calibri" w:cs="Calibri"/>
        </w:rPr>
      </w:pPr>
    </w:p>
    <w:p w14:paraId="7261958D" w14:textId="77777777" w:rsidR="00A25EE6" w:rsidRPr="00141590" w:rsidRDefault="00A25EE6" w:rsidP="00574FBB">
      <w:pPr>
        <w:rPr>
          <w:rFonts w:ascii="Calibri" w:hAnsi="Calibri" w:cs="Calibri"/>
        </w:rPr>
      </w:pPr>
    </w:p>
    <w:p w14:paraId="24B34A12" w14:textId="77777777" w:rsidR="0062050B" w:rsidRPr="00141590" w:rsidRDefault="0062050B" w:rsidP="00574FBB">
      <w:pPr>
        <w:rPr>
          <w:rFonts w:ascii="Calibri" w:hAnsi="Calibri" w:cs="Calibri"/>
        </w:rPr>
      </w:pPr>
    </w:p>
    <w:p w14:paraId="0D2D5428" w14:textId="77777777" w:rsidR="0062050B" w:rsidRPr="00141590" w:rsidRDefault="0062050B" w:rsidP="00574FBB">
      <w:pPr>
        <w:rPr>
          <w:rFonts w:ascii="Calibri" w:hAnsi="Calibri" w:cs="Calibri"/>
        </w:rPr>
      </w:pPr>
    </w:p>
    <w:p w14:paraId="1F023E2D" w14:textId="77777777" w:rsidR="0062050B" w:rsidRPr="00141590" w:rsidRDefault="0062050B" w:rsidP="00574FBB">
      <w:pPr>
        <w:rPr>
          <w:rFonts w:ascii="Calibri" w:hAnsi="Calibri" w:cs="Calibri"/>
        </w:rPr>
      </w:pPr>
    </w:p>
    <w:p w14:paraId="34180E4E" w14:textId="77777777" w:rsidR="0062050B" w:rsidRPr="00141590" w:rsidRDefault="0062050B" w:rsidP="00574FBB">
      <w:pPr>
        <w:rPr>
          <w:rFonts w:ascii="Calibri" w:hAnsi="Calibri" w:cs="Calibri"/>
        </w:rPr>
      </w:pPr>
    </w:p>
    <w:p w14:paraId="19E98487" w14:textId="77777777" w:rsidR="00A25EE6" w:rsidRPr="00141590" w:rsidRDefault="00A25EE6" w:rsidP="00574FBB">
      <w:pPr>
        <w:rPr>
          <w:rFonts w:ascii="Calibri" w:hAnsi="Calibri" w:cs="Calibri"/>
        </w:rPr>
      </w:pPr>
    </w:p>
    <w:p w14:paraId="2E8DFFBE" w14:textId="67815D76" w:rsidR="00A25EE6" w:rsidRPr="00141590" w:rsidRDefault="000003AD" w:rsidP="00574FBB">
      <w:pPr>
        <w:rPr>
          <w:rFonts w:ascii="Calibri" w:hAnsi="Calibri" w:cs="Calibri"/>
          <w:b/>
          <w:bCs/>
          <w:sz w:val="40"/>
          <w:szCs w:val="40"/>
        </w:rPr>
      </w:pPr>
      <w:r>
        <w:rPr>
          <w:rFonts w:ascii="Calibri" w:hAnsi="Calibri" w:cs="Calibri"/>
          <w:b/>
          <w:bCs/>
          <w:sz w:val="40"/>
          <w:szCs w:val="40"/>
        </w:rPr>
        <w:t>Regulatory relief for Canadian broadcasters</w:t>
      </w:r>
      <w:r w:rsidR="00870D3D" w:rsidRPr="00141590">
        <w:rPr>
          <w:rFonts w:ascii="Calibri" w:hAnsi="Calibri" w:cs="Calibri"/>
          <w:b/>
          <w:bCs/>
          <w:sz w:val="40"/>
          <w:szCs w:val="40"/>
        </w:rPr>
        <w:t xml:space="preserve">:  </w:t>
      </w:r>
    </w:p>
    <w:p w14:paraId="1898E78E" w14:textId="2B068C3B" w:rsidR="00870D3D" w:rsidRPr="00141590" w:rsidRDefault="000003AD" w:rsidP="00574FBB">
      <w:pPr>
        <w:rPr>
          <w:rFonts w:ascii="Calibri" w:hAnsi="Calibri" w:cs="Calibri"/>
          <w:b/>
          <w:bCs/>
          <w:sz w:val="40"/>
          <w:szCs w:val="40"/>
        </w:rPr>
      </w:pPr>
      <w:r>
        <w:rPr>
          <w:rFonts w:ascii="Calibri" w:hAnsi="Calibri" w:cs="Calibri"/>
          <w:b/>
          <w:bCs/>
          <w:sz w:val="40"/>
          <w:szCs w:val="40"/>
        </w:rPr>
        <w:t xml:space="preserve">Reporting, </w:t>
      </w:r>
      <w:r w:rsidR="00995AA5">
        <w:rPr>
          <w:rFonts w:ascii="Calibri" w:hAnsi="Calibri" w:cs="Calibri"/>
          <w:b/>
          <w:bCs/>
          <w:sz w:val="40"/>
          <w:szCs w:val="40"/>
        </w:rPr>
        <w:t xml:space="preserve">transparency, </w:t>
      </w:r>
      <w:r>
        <w:rPr>
          <w:rFonts w:ascii="Calibri" w:hAnsi="Calibri" w:cs="Calibri"/>
          <w:b/>
          <w:bCs/>
          <w:sz w:val="40"/>
          <w:szCs w:val="40"/>
        </w:rPr>
        <w:t>enforcement and results</w:t>
      </w:r>
    </w:p>
    <w:p w14:paraId="3CF7E9A9" w14:textId="77777777" w:rsidR="00A25EE6" w:rsidRPr="00141590" w:rsidRDefault="00A25EE6" w:rsidP="00574FBB">
      <w:pPr>
        <w:rPr>
          <w:rFonts w:ascii="Calibri" w:hAnsi="Calibri" w:cs="Calibri"/>
        </w:rPr>
      </w:pPr>
    </w:p>
    <w:p w14:paraId="0DCBBF48" w14:textId="77777777" w:rsidR="00A25EE6" w:rsidRPr="00141590" w:rsidRDefault="00A25EE6" w:rsidP="00574FBB">
      <w:pPr>
        <w:rPr>
          <w:rFonts w:ascii="Calibri" w:hAnsi="Calibri" w:cs="Calibri"/>
        </w:rPr>
      </w:pPr>
    </w:p>
    <w:p w14:paraId="5C75DA30" w14:textId="6B908AF0" w:rsidR="00A25EE6" w:rsidRPr="00141590" w:rsidRDefault="00995AA5" w:rsidP="00574FBB">
      <w:pPr>
        <w:rPr>
          <w:rFonts w:ascii="Calibri" w:hAnsi="Calibri" w:cs="Calibri"/>
        </w:rPr>
      </w:pPr>
      <w:r w:rsidRPr="00995AA5">
        <w:rPr>
          <w:rFonts w:ascii="Calibri" w:hAnsi="Calibri" w:cs="Calibri"/>
          <w:i/>
          <w:iCs/>
        </w:rPr>
        <w:t>Call for comments on an application by the Canadian Association of Broadcasters requesting regulatory relief for Canadian broadcasters in regard to the COVID-19 pandemic</w:t>
      </w:r>
      <w:r w:rsidR="00515EAF" w:rsidRPr="00141590">
        <w:rPr>
          <w:rFonts w:ascii="Calibri" w:hAnsi="Calibri" w:cs="Calibri"/>
        </w:rPr>
        <w:t>, Broadcasting Notice of Consultation CRTC 2020-</w:t>
      </w:r>
      <w:r>
        <w:rPr>
          <w:rFonts w:ascii="Calibri" w:hAnsi="Calibri" w:cs="Calibri"/>
        </w:rPr>
        <w:t>336</w:t>
      </w:r>
      <w:r w:rsidR="00515EAF" w:rsidRPr="00141590">
        <w:rPr>
          <w:rFonts w:ascii="Calibri" w:hAnsi="Calibri" w:cs="Calibri"/>
        </w:rPr>
        <w:t xml:space="preserve"> (1</w:t>
      </w:r>
      <w:r>
        <w:rPr>
          <w:rFonts w:ascii="Calibri" w:hAnsi="Calibri" w:cs="Calibri"/>
        </w:rPr>
        <w:t>7 September 2020</w:t>
      </w:r>
      <w:r w:rsidR="00515EAF" w:rsidRPr="00141590">
        <w:rPr>
          <w:rFonts w:ascii="Calibri" w:hAnsi="Calibri" w:cs="Calibri"/>
        </w:rPr>
        <w:t>)</w:t>
      </w:r>
    </w:p>
    <w:p w14:paraId="304043A6" w14:textId="77777777" w:rsidR="00515EAF" w:rsidRPr="00141590" w:rsidRDefault="00515EAF" w:rsidP="00574FBB">
      <w:pPr>
        <w:rPr>
          <w:rFonts w:ascii="Calibri" w:hAnsi="Calibri" w:cs="Calibri"/>
        </w:rPr>
      </w:pPr>
    </w:p>
    <w:p w14:paraId="2C6FF379" w14:textId="77777777" w:rsidR="00515EAF" w:rsidRPr="00141590" w:rsidRDefault="00515EAF" w:rsidP="00574FBB">
      <w:pPr>
        <w:rPr>
          <w:rFonts w:ascii="Calibri" w:hAnsi="Calibri" w:cs="Calibri"/>
        </w:rPr>
      </w:pPr>
    </w:p>
    <w:p w14:paraId="5DDC3D53" w14:textId="77777777" w:rsidR="00515EAF" w:rsidRPr="00141590" w:rsidRDefault="00515EAF" w:rsidP="00574FBB">
      <w:pPr>
        <w:rPr>
          <w:rFonts w:ascii="Calibri" w:hAnsi="Calibri" w:cs="Calibri"/>
        </w:rPr>
      </w:pPr>
      <w:r w:rsidRPr="00141590">
        <w:rPr>
          <w:rFonts w:ascii="Calibri" w:hAnsi="Calibri" w:cs="Calibri"/>
        </w:rPr>
        <w:t xml:space="preserve">Comments by the Forum for Research and Policy in Communications (FRPC) </w:t>
      </w:r>
    </w:p>
    <w:p w14:paraId="65298738" w14:textId="77777777" w:rsidR="00515EAF" w:rsidRPr="00141590" w:rsidRDefault="00515EAF" w:rsidP="00574FBB">
      <w:pPr>
        <w:rPr>
          <w:rFonts w:ascii="Calibri" w:hAnsi="Calibri" w:cs="Calibri"/>
        </w:rPr>
      </w:pPr>
    </w:p>
    <w:p w14:paraId="05356908" w14:textId="77777777" w:rsidR="00515EAF" w:rsidRPr="00141590" w:rsidRDefault="00515EAF" w:rsidP="00574FBB">
      <w:pPr>
        <w:rPr>
          <w:rFonts w:ascii="Calibri" w:hAnsi="Calibri" w:cs="Calibri"/>
        </w:rPr>
      </w:pPr>
    </w:p>
    <w:p w14:paraId="6D0B0AC8" w14:textId="07C58CAC" w:rsidR="00515EAF" w:rsidRPr="00141590" w:rsidRDefault="00995AA5" w:rsidP="00574FBB">
      <w:pPr>
        <w:rPr>
          <w:rFonts w:ascii="Calibri" w:hAnsi="Calibri" w:cs="Calibri"/>
        </w:rPr>
      </w:pPr>
      <w:r>
        <w:rPr>
          <w:rFonts w:ascii="Calibri" w:hAnsi="Calibri" w:cs="Calibri"/>
        </w:rPr>
        <w:t>19 October 2020</w:t>
      </w:r>
    </w:p>
    <w:p w14:paraId="5BA9814F" w14:textId="77777777" w:rsidR="00515EAF" w:rsidRPr="00141590" w:rsidRDefault="00515EAF" w:rsidP="00574FBB">
      <w:pPr>
        <w:rPr>
          <w:rFonts w:ascii="Calibri" w:hAnsi="Calibri" w:cs="Calibri"/>
        </w:rPr>
      </w:pPr>
    </w:p>
    <w:p w14:paraId="10D287D9" w14:textId="77777777" w:rsidR="00515EAF" w:rsidRPr="00141590" w:rsidRDefault="00515EAF" w:rsidP="00574FBB">
      <w:pPr>
        <w:rPr>
          <w:rFonts w:ascii="Calibri" w:hAnsi="Calibri" w:cs="Calibri"/>
        </w:rPr>
      </w:pPr>
    </w:p>
    <w:p w14:paraId="77B242A1" w14:textId="77777777" w:rsidR="00515EAF" w:rsidRPr="00141590" w:rsidRDefault="00515EAF" w:rsidP="00574FBB">
      <w:pPr>
        <w:rPr>
          <w:rFonts w:ascii="Calibri" w:hAnsi="Calibri" w:cs="Calibri"/>
        </w:rPr>
      </w:pPr>
      <w:r w:rsidRPr="00141590">
        <w:rPr>
          <w:rFonts w:ascii="Calibri" w:hAnsi="Calibri" w:cs="Calibri"/>
        </w:rPr>
        <w:t>M.L. Auer</w:t>
      </w:r>
    </w:p>
    <w:p w14:paraId="0CB3208A" w14:textId="77777777" w:rsidR="00515EAF" w:rsidRPr="00141590" w:rsidRDefault="00515EAF" w:rsidP="00574FBB">
      <w:pPr>
        <w:rPr>
          <w:rFonts w:ascii="Calibri" w:hAnsi="Calibri" w:cs="Calibri"/>
        </w:rPr>
      </w:pPr>
      <w:r w:rsidRPr="00141590">
        <w:rPr>
          <w:rFonts w:ascii="Calibri" w:hAnsi="Calibri" w:cs="Calibri"/>
        </w:rPr>
        <w:t>Executive Director</w:t>
      </w:r>
    </w:p>
    <w:p w14:paraId="4EF3FFF6" w14:textId="77777777" w:rsidR="00515EAF" w:rsidRPr="00141590" w:rsidRDefault="00515EAF" w:rsidP="00574FBB">
      <w:pPr>
        <w:rPr>
          <w:rFonts w:ascii="Calibri" w:hAnsi="Calibri" w:cs="Calibri"/>
        </w:rPr>
      </w:pPr>
    </w:p>
    <w:p w14:paraId="01AF5231" w14:textId="77777777" w:rsidR="00A25EE6" w:rsidRPr="00141590" w:rsidRDefault="00A25EE6" w:rsidP="00574FBB">
      <w:pPr>
        <w:rPr>
          <w:rFonts w:ascii="Calibri" w:hAnsi="Calibri" w:cs="Calibri"/>
        </w:rPr>
        <w:sectPr w:rsidR="00A25EE6" w:rsidRPr="00141590" w:rsidSect="00A25EE6">
          <w:headerReference w:type="default" r:id="rId11"/>
          <w:pgSz w:w="12240" w:h="15840"/>
          <w:pgMar w:top="1440" w:right="1440" w:bottom="1440" w:left="1440" w:header="708" w:footer="708" w:gutter="0"/>
          <w:cols w:space="708"/>
          <w:docGrid w:linePitch="360"/>
        </w:sectPr>
      </w:pPr>
    </w:p>
    <w:p w14:paraId="3DF0E2C4" w14:textId="77777777" w:rsidR="00D57F16" w:rsidRPr="00141590" w:rsidRDefault="00A25EE6" w:rsidP="00574FBB">
      <w:pPr>
        <w:rPr>
          <w:rFonts w:ascii="Calibri" w:hAnsi="Calibri" w:cs="Calibri"/>
        </w:rPr>
      </w:pPr>
      <w:r w:rsidRPr="00141590">
        <w:rPr>
          <w:rFonts w:ascii="Calibri" w:hAnsi="Calibri" w:cs="Calibri"/>
        </w:rPr>
        <w:lastRenderedPageBreak/>
        <w:t>Contents</w:t>
      </w:r>
    </w:p>
    <w:p w14:paraId="5D383F30" w14:textId="77777777" w:rsidR="00A25EE6" w:rsidRPr="00141590" w:rsidRDefault="00A25EE6" w:rsidP="00574FBB">
      <w:pPr>
        <w:rPr>
          <w:rFonts w:ascii="Calibri" w:hAnsi="Calibri" w:cs="Calibri"/>
        </w:rPr>
      </w:pPr>
    </w:p>
    <w:p w14:paraId="139BE7CB" w14:textId="49635F77" w:rsidR="00352A14" w:rsidRDefault="001051A3">
      <w:pPr>
        <w:pStyle w:val="TOC1"/>
        <w:rPr>
          <w:rFonts w:asciiTheme="minorHAnsi" w:eastAsiaTheme="minorEastAsia" w:hAnsiTheme="minorHAnsi" w:cstheme="minorBidi"/>
          <w:b w:val="0"/>
          <w:bCs w:val="0"/>
          <w:color w:val="auto"/>
          <w:sz w:val="22"/>
          <w:szCs w:val="22"/>
        </w:rPr>
      </w:pPr>
      <w:r w:rsidRPr="00141590">
        <w:fldChar w:fldCharType="begin"/>
      </w:r>
      <w:r w:rsidRPr="00141590">
        <w:instrText xml:space="preserve"> TOC \o "1-4" \h \z \u </w:instrText>
      </w:r>
      <w:r w:rsidRPr="00141590">
        <w:fldChar w:fldCharType="separate"/>
      </w:r>
      <w:hyperlink w:anchor="_Toc54021154" w:history="1">
        <w:r w:rsidR="00352A14" w:rsidRPr="0060319A">
          <w:rPr>
            <w:rStyle w:val="Hyperlink"/>
          </w:rPr>
          <w:t>Executive summary</w:t>
        </w:r>
        <w:r w:rsidR="00352A14">
          <w:rPr>
            <w:webHidden/>
          </w:rPr>
          <w:tab/>
        </w:r>
        <w:r w:rsidR="00352A14">
          <w:rPr>
            <w:webHidden/>
          </w:rPr>
          <w:fldChar w:fldCharType="begin"/>
        </w:r>
        <w:r w:rsidR="00352A14">
          <w:rPr>
            <w:webHidden/>
          </w:rPr>
          <w:instrText xml:space="preserve"> PAGEREF _Toc54021154 \h </w:instrText>
        </w:r>
        <w:r w:rsidR="00352A14">
          <w:rPr>
            <w:webHidden/>
          </w:rPr>
        </w:r>
        <w:r w:rsidR="00352A14">
          <w:rPr>
            <w:webHidden/>
          </w:rPr>
          <w:fldChar w:fldCharType="separate"/>
        </w:r>
        <w:r w:rsidR="00A74C32">
          <w:rPr>
            <w:webHidden/>
          </w:rPr>
          <w:t>1</w:t>
        </w:r>
        <w:r w:rsidR="00352A14">
          <w:rPr>
            <w:webHidden/>
          </w:rPr>
          <w:fldChar w:fldCharType="end"/>
        </w:r>
      </w:hyperlink>
    </w:p>
    <w:p w14:paraId="5F1817EF" w14:textId="60C9C490" w:rsidR="00352A14" w:rsidRDefault="00A74C32">
      <w:pPr>
        <w:pStyle w:val="TOC2"/>
        <w:rPr>
          <w:rFonts w:asciiTheme="minorHAnsi" w:eastAsiaTheme="minorEastAsia" w:hAnsiTheme="minorHAnsi" w:cstheme="minorBidi"/>
          <w:color w:val="auto"/>
          <w:sz w:val="22"/>
          <w:szCs w:val="22"/>
        </w:rPr>
      </w:pPr>
      <w:hyperlink w:anchor="_Toc54021155" w:history="1">
        <w:r w:rsidR="00352A14" w:rsidRPr="0060319A">
          <w:rPr>
            <w:rStyle w:val="Hyperlink"/>
          </w:rPr>
          <w:t>A.</w:t>
        </w:r>
        <w:r w:rsidR="00352A14">
          <w:rPr>
            <w:rFonts w:asciiTheme="minorHAnsi" w:eastAsiaTheme="minorEastAsia" w:hAnsiTheme="minorHAnsi" w:cstheme="minorBidi"/>
            <w:color w:val="auto"/>
            <w:sz w:val="22"/>
            <w:szCs w:val="22"/>
          </w:rPr>
          <w:tab/>
        </w:r>
        <w:r w:rsidR="00352A14" w:rsidRPr="0060319A">
          <w:rPr>
            <w:rStyle w:val="Hyperlink"/>
          </w:rPr>
          <w:t xml:space="preserve">The regulatory relief sought by CAB:  suspension of CRTC’s supervisory role and approval of </w:t>
        </w:r>
        <w:r w:rsidR="00352A14" w:rsidRPr="0060319A">
          <w:rPr>
            <w:rStyle w:val="Hyperlink"/>
            <w:i/>
            <w:iCs/>
          </w:rPr>
          <w:t>de facto</w:t>
        </w:r>
        <w:r w:rsidR="00352A14" w:rsidRPr="0060319A">
          <w:rPr>
            <w:rStyle w:val="Hyperlink"/>
          </w:rPr>
          <w:t xml:space="preserve"> amalgamation</w:t>
        </w:r>
        <w:r w:rsidR="00352A14">
          <w:rPr>
            <w:webHidden/>
          </w:rPr>
          <w:tab/>
        </w:r>
        <w:r w:rsidR="00352A14">
          <w:rPr>
            <w:webHidden/>
          </w:rPr>
          <w:fldChar w:fldCharType="begin"/>
        </w:r>
        <w:r w:rsidR="00352A14">
          <w:rPr>
            <w:webHidden/>
          </w:rPr>
          <w:instrText xml:space="preserve"> PAGEREF _Toc54021155 \h </w:instrText>
        </w:r>
        <w:r w:rsidR="00352A14">
          <w:rPr>
            <w:webHidden/>
          </w:rPr>
        </w:r>
        <w:r w:rsidR="00352A14">
          <w:rPr>
            <w:webHidden/>
          </w:rPr>
          <w:fldChar w:fldCharType="separate"/>
        </w:r>
        <w:r>
          <w:rPr>
            <w:webHidden/>
          </w:rPr>
          <w:t>1</w:t>
        </w:r>
        <w:r w:rsidR="00352A14">
          <w:rPr>
            <w:webHidden/>
          </w:rPr>
          <w:fldChar w:fldCharType="end"/>
        </w:r>
      </w:hyperlink>
    </w:p>
    <w:p w14:paraId="3A5B06B7" w14:textId="42B42797" w:rsidR="00352A14" w:rsidRDefault="00A74C32">
      <w:pPr>
        <w:pStyle w:val="TOC2"/>
        <w:rPr>
          <w:rFonts w:asciiTheme="minorHAnsi" w:eastAsiaTheme="minorEastAsia" w:hAnsiTheme="minorHAnsi" w:cstheme="minorBidi"/>
          <w:color w:val="auto"/>
          <w:sz w:val="22"/>
          <w:szCs w:val="22"/>
        </w:rPr>
      </w:pPr>
      <w:hyperlink w:anchor="_Toc54021156" w:history="1">
        <w:r w:rsidR="00352A14" w:rsidRPr="0060319A">
          <w:rPr>
            <w:rStyle w:val="Hyperlink"/>
          </w:rPr>
          <w:t>B.</w:t>
        </w:r>
        <w:r w:rsidR="00352A14">
          <w:rPr>
            <w:rFonts w:asciiTheme="minorHAnsi" w:eastAsiaTheme="minorEastAsia" w:hAnsiTheme="minorHAnsi" w:cstheme="minorBidi"/>
            <w:color w:val="auto"/>
            <w:sz w:val="22"/>
            <w:szCs w:val="22"/>
          </w:rPr>
          <w:tab/>
        </w:r>
        <w:r w:rsidR="00352A14" w:rsidRPr="0060319A">
          <w:rPr>
            <w:rStyle w:val="Hyperlink"/>
          </w:rPr>
          <w:t>Key first principles</w:t>
        </w:r>
        <w:r w:rsidR="00352A14">
          <w:rPr>
            <w:webHidden/>
          </w:rPr>
          <w:tab/>
        </w:r>
        <w:r w:rsidR="00352A14">
          <w:rPr>
            <w:webHidden/>
          </w:rPr>
          <w:fldChar w:fldCharType="begin"/>
        </w:r>
        <w:r w:rsidR="00352A14">
          <w:rPr>
            <w:webHidden/>
          </w:rPr>
          <w:instrText xml:space="preserve"> PAGEREF _Toc54021156 \h </w:instrText>
        </w:r>
        <w:r w:rsidR="00352A14">
          <w:rPr>
            <w:webHidden/>
          </w:rPr>
        </w:r>
        <w:r w:rsidR="00352A14">
          <w:rPr>
            <w:webHidden/>
          </w:rPr>
          <w:fldChar w:fldCharType="separate"/>
        </w:r>
        <w:r>
          <w:rPr>
            <w:webHidden/>
          </w:rPr>
          <w:t>2</w:t>
        </w:r>
        <w:r w:rsidR="00352A14">
          <w:rPr>
            <w:webHidden/>
          </w:rPr>
          <w:fldChar w:fldCharType="end"/>
        </w:r>
      </w:hyperlink>
    </w:p>
    <w:p w14:paraId="511D5A9E" w14:textId="34FCC87C" w:rsidR="00352A14" w:rsidRDefault="00A74C32">
      <w:pPr>
        <w:pStyle w:val="TOC2"/>
        <w:rPr>
          <w:rFonts w:asciiTheme="minorHAnsi" w:eastAsiaTheme="minorEastAsia" w:hAnsiTheme="minorHAnsi" w:cstheme="minorBidi"/>
          <w:color w:val="auto"/>
          <w:sz w:val="22"/>
          <w:szCs w:val="22"/>
        </w:rPr>
      </w:pPr>
      <w:hyperlink w:anchor="_Toc54021157" w:history="1">
        <w:r w:rsidR="00352A14" w:rsidRPr="0060319A">
          <w:rPr>
            <w:rStyle w:val="Hyperlink"/>
          </w:rPr>
          <w:t>C.</w:t>
        </w:r>
        <w:r w:rsidR="00352A14">
          <w:rPr>
            <w:rFonts w:asciiTheme="minorHAnsi" w:eastAsiaTheme="minorEastAsia" w:hAnsiTheme="minorHAnsi" w:cstheme="minorBidi"/>
            <w:color w:val="auto"/>
            <w:sz w:val="22"/>
            <w:szCs w:val="22"/>
          </w:rPr>
          <w:tab/>
        </w:r>
        <w:r w:rsidR="00352A14" w:rsidRPr="0060319A">
          <w:rPr>
            <w:rStyle w:val="Hyperlink"/>
          </w:rPr>
          <w:t>Conditions for granting regulatory relief</w:t>
        </w:r>
        <w:r w:rsidR="00352A14">
          <w:rPr>
            <w:webHidden/>
          </w:rPr>
          <w:tab/>
        </w:r>
        <w:r w:rsidR="00352A14">
          <w:rPr>
            <w:webHidden/>
          </w:rPr>
          <w:fldChar w:fldCharType="begin"/>
        </w:r>
        <w:r w:rsidR="00352A14">
          <w:rPr>
            <w:webHidden/>
          </w:rPr>
          <w:instrText xml:space="preserve"> PAGEREF _Toc54021157 \h </w:instrText>
        </w:r>
        <w:r w:rsidR="00352A14">
          <w:rPr>
            <w:webHidden/>
          </w:rPr>
        </w:r>
        <w:r w:rsidR="00352A14">
          <w:rPr>
            <w:webHidden/>
          </w:rPr>
          <w:fldChar w:fldCharType="separate"/>
        </w:r>
        <w:r>
          <w:rPr>
            <w:webHidden/>
          </w:rPr>
          <w:t>2</w:t>
        </w:r>
        <w:r w:rsidR="00352A14">
          <w:rPr>
            <w:webHidden/>
          </w:rPr>
          <w:fldChar w:fldCharType="end"/>
        </w:r>
      </w:hyperlink>
    </w:p>
    <w:p w14:paraId="6E2A4BD1" w14:textId="0E0122D4" w:rsidR="00352A14" w:rsidRDefault="00A74C32">
      <w:pPr>
        <w:pStyle w:val="TOC1"/>
        <w:rPr>
          <w:rFonts w:asciiTheme="minorHAnsi" w:eastAsiaTheme="minorEastAsia" w:hAnsiTheme="minorHAnsi" w:cstheme="minorBidi"/>
          <w:b w:val="0"/>
          <w:bCs w:val="0"/>
          <w:color w:val="auto"/>
          <w:sz w:val="22"/>
          <w:szCs w:val="22"/>
        </w:rPr>
      </w:pPr>
      <w:hyperlink w:anchor="_Toc54021158" w:history="1">
        <w:r w:rsidR="00352A14" w:rsidRPr="0060319A">
          <w:rPr>
            <w:rStyle w:val="Hyperlink"/>
          </w:rPr>
          <w:t>I.</w:t>
        </w:r>
        <w:r w:rsidR="00352A14">
          <w:rPr>
            <w:rFonts w:asciiTheme="minorHAnsi" w:eastAsiaTheme="minorEastAsia" w:hAnsiTheme="minorHAnsi" w:cstheme="minorBidi"/>
            <w:b w:val="0"/>
            <w:bCs w:val="0"/>
            <w:color w:val="auto"/>
            <w:sz w:val="22"/>
            <w:szCs w:val="22"/>
          </w:rPr>
          <w:tab/>
        </w:r>
        <w:r w:rsidR="00352A14" w:rsidRPr="0060319A">
          <w:rPr>
            <w:rStyle w:val="Hyperlink"/>
          </w:rPr>
          <w:t>Introduction:  a crisis in Canadian broadcasting</w:t>
        </w:r>
        <w:r w:rsidR="00352A14">
          <w:rPr>
            <w:webHidden/>
          </w:rPr>
          <w:tab/>
        </w:r>
        <w:r w:rsidR="00352A14">
          <w:rPr>
            <w:webHidden/>
          </w:rPr>
          <w:fldChar w:fldCharType="begin"/>
        </w:r>
        <w:r w:rsidR="00352A14">
          <w:rPr>
            <w:webHidden/>
          </w:rPr>
          <w:instrText xml:space="preserve"> PAGEREF _Toc54021158 \h </w:instrText>
        </w:r>
        <w:r w:rsidR="00352A14">
          <w:rPr>
            <w:webHidden/>
          </w:rPr>
        </w:r>
        <w:r w:rsidR="00352A14">
          <w:rPr>
            <w:webHidden/>
          </w:rPr>
          <w:fldChar w:fldCharType="separate"/>
        </w:r>
        <w:r>
          <w:rPr>
            <w:webHidden/>
          </w:rPr>
          <w:t>1</w:t>
        </w:r>
        <w:r w:rsidR="00352A14">
          <w:rPr>
            <w:webHidden/>
          </w:rPr>
          <w:fldChar w:fldCharType="end"/>
        </w:r>
      </w:hyperlink>
    </w:p>
    <w:p w14:paraId="67AB8AC2" w14:textId="45BEECD6" w:rsidR="00352A14" w:rsidRDefault="00A74C32">
      <w:pPr>
        <w:pStyle w:val="TOC2"/>
        <w:rPr>
          <w:rFonts w:asciiTheme="minorHAnsi" w:eastAsiaTheme="minorEastAsia" w:hAnsiTheme="minorHAnsi" w:cstheme="minorBidi"/>
          <w:color w:val="auto"/>
          <w:sz w:val="22"/>
          <w:szCs w:val="22"/>
        </w:rPr>
      </w:pPr>
      <w:hyperlink w:anchor="_Toc54021159" w:history="1">
        <w:r w:rsidR="00352A14" w:rsidRPr="0060319A">
          <w:rPr>
            <w:rStyle w:val="Hyperlink"/>
          </w:rPr>
          <w:t>A.</w:t>
        </w:r>
        <w:r w:rsidR="00352A14">
          <w:rPr>
            <w:rFonts w:asciiTheme="minorHAnsi" w:eastAsiaTheme="minorEastAsia" w:hAnsiTheme="minorHAnsi" w:cstheme="minorBidi"/>
            <w:color w:val="auto"/>
            <w:sz w:val="22"/>
            <w:szCs w:val="22"/>
          </w:rPr>
          <w:tab/>
        </w:r>
        <w:r w:rsidR="00352A14" w:rsidRPr="0060319A">
          <w:rPr>
            <w:rStyle w:val="Hyperlink"/>
          </w:rPr>
          <w:t>The unusual context of this proceeding</w:t>
        </w:r>
        <w:r w:rsidR="00352A14">
          <w:rPr>
            <w:webHidden/>
          </w:rPr>
          <w:tab/>
        </w:r>
        <w:r w:rsidR="00352A14">
          <w:rPr>
            <w:webHidden/>
          </w:rPr>
          <w:fldChar w:fldCharType="begin"/>
        </w:r>
        <w:r w:rsidR="00352A14">
          <w:rPr>
            <w:webHidden/>
          </w:rPr>
          <w:instrText xml:space="preserve"> PAGEREF _Toc54021159 \h </w:instrText>
        </w:r>
        <w:r w:rsidR="00352A14">
          <w:rPr>
            <w:webHidden/>
          </w:rPr>
        </w:r>
        <w:r w:rsidR="00352A14">
          <w:rPr>
            <w:webHidden/>
          </w:rPr>
          <w:fldChar w:fldCharType="separate"/>
        </w:r>
        <w:r>
          <w:rPr>
            <w:webHidden/>
          </w:rPr>
          <w:t>1</w:t>
        </w:r>
        <w:r w:rsidR="00352A14">
          <w:rPr>
            <w:webHidden/>
          </w:rPr>
          <w:fldChar w:fldCharType="end"/>
        </w:r>
      </w:hyperlink>
    </w:p>
    <w:p w14:paraId="3AF71BCE" w14:textId="6F297FEE" w:rsidR="00352A14" w:rsidRDefault="00A74C32">
      <w:pPr>
        <w:pStyle w:val="TOC2"/>
        <w:rPr>
          <w:rFonts w:asciiTheme="minorHAnsi" w:eastAsiaTheme="minorEastAsia" w:hAnsiTheme="minorHAnsi" w:cstheme="minorBidi"/>
          <w:color w:val="auto"/>
          <w:sz w:val="22"/>
          <w:szCs w:val="22"/>
        </w:rPr>
      </w:pPr>
      <w:hyperlink w:anchor="_Toc54021160" w:history="1">
        <w:r w:rsidR="00352A14" w:rsidRPr="0060319A">
          <w:rPr>
            <w:rStyle w:val="Hyperlink"/>
          </w:rPr>
          <w:t>B.</w:t>
        </w:r>
        <w:r w:rsidR="00352A14">
          <w:rPr>
            <w:rFonts w:asciiTheme="minorHAnsi" w:eastAsiaTheme="minorEastAsia" w:hAnsiTheme="minorHAnsi" w:cstheme="minorBidi"/>
            <w:color w:val="auto"/>
            <w:sz w:val="22"/>
            <w:szCs w:val="22"/>
          </w:rPr>
          <w:tab/>
        </w:r>
        <w:r w:rsidR="00352A14" w:rsidRPr="0060319A">
          <w:rPr>
            <w:rStyle w:val="Hyperlink"/>
          </w:rPr>
          <w:t>Impact of the pandemic on Canada’s private broadcasting system</w:t>
        </w:r>
        <w:r w:rsidR="00352A14">
          <w:rPr>
            <w:webHidden/>
          </w:rPr>
          <w:tab/>
        </w:r>
        <w:r w:rsidR="00352A14">
          <w:rPr>
            <w:webHidden/>
          </w:rPr>
          <w:fldChar w:fldCharType="begin"/>
        </w:r>
        <w:r w:rsidR="00352A14">
          <w:rPr>
            <w:webHidden/>
          </w:rPr>
          <w:instrText xml:space="preserve"> PAGEREF _Toc54021160 \h </w:instrText>
        </w:r>
        <w:r w:rsidR="00352A14">
          <w:rPr>
            <w:webHidden/>
          </w:rPr>
        </w:r>
        <w:r w:rsidR="00352A14">
          <w:rPr>
            <w:webHidden/>
          </w:rPr>
          <w:fldChar w:fldCharType="separate"/>
        </w:r>
        <w:r>
          <w:rPr>
            <w:webHidden/>
          </w:rPr>
          <w:t>2</w:t>
        </w:r>
        <w:r w:rsidR="00352A14">
          <w:rPr>
            <w:webHidden/>
          </w:rPr>
          <w:fldChar w:fldCharType="end"/>
        </w:r>
      </w:hyperlink>
    </w:p>
    <w:p w14:paraId="34F273D2" w14:textId="5DDB41C9" w:rsidR="00352A14" w:rsidRDefault="00A74C32">
      <w:pPr>
        <w:pStyle w:val="TOC1"/>
        <w:rPr>
          <w:rFonts w:asciiTheme="minorHAnsi" w:eastAsiaTheme="minorEastAsia" w:hAnsiTheme="minorHAnsi" w:cstheme="minorBidi"/>
          <w:b w:val="0"/>
          <w:bCs w:val="0"/>
          <w:color w:val="auto"/>
          <w:sz w:val="22"/>
          <w:szCs w:val="22"/>
        </w:rPr>
      </w:pPr>
      <w:hyperlink w:anchor="_Toc54021161" w:history="1">
        <w:r w:rsidR="00352A14" w:rsidRPr="0060319A">
          <w:rPr>
            <w:rStyle w:val="Hyperlink"/>
          </w:rPr>
          <w:t>II.</w:t>
        </w:r>
        <w:r w:rsidR="00352A14">
          <w:rPr>
            <w:rFonts w:asciiTheme="minorHAnsi" w:eastAsiaTheme="minorEastAsia" w:hAnsiTheme="minorHAnsi" w:cstheme="minorBidi"/>
            <w:b w:val="0"/>
            <w:bCs w:val="0"/>
            <w:color w:val="auto"/>
            <w:sz w:val="22"/>
            <w:szCs w:val="22"/>
          </w:rPr>
          <w:tab/>
        </w:r>
        <w:r w:rsidR="00352A14" w:rsidRPr="0060319A">
          <w:rPr>
            <w:rStyle w:val="Hyperlink"/>
          </w:rPr>
          <w:t>CAB’s application:  exceptional times require an exceptional approach</w:t>
        </w:r>
        <w:r w:rsidR="00352A14">
          <w:rPr>
            <w:webHidden/>
          </w:rPr>
          <w:tab/>
        </w:r>
        <w:r w:rsidR="00352A14">
          <w:rPr>
            <w:webHidden/>
          </w:rPr>
          <w:fldChar w:fldCharType="begin"/>
        </w:r>
        <w:r w:rsidR="00352A14">
          <w:rPr>
            <w:webHidden/>
          </w:rPr>
          <w:instrText xml:space="preserve"> PAGEREF _Toc54021161 \h </w:instrText>
        </w:r>
        <w:r w:rsidR="00352A14">
          <w:rPr>
            <w:webHidden/>
          </w:rPr>
        </w:r>
        <w:r w:rsidR="00352A14">
          <w:rPr>
            <w:webHidden/>
          </w:rPr>
          <w:fldChar w:fldCharType="separate"/>
        </w:r>
        <w:r>
          <w:rPr>
            <w:webHidden/>
          </w:rPr>
          <w:t>4</w:t>
        </w:r>
        <w:r w:rsidR="00352A14">
          <w:rPr>
            <w:webHidden/>
          </w:rPr>
          <w:fldChar w:fldCharType="end"/>
        </w:r>
      </w:hyperlink>
    </w:p>
    <w:p w14:paraId="54520BCA" w14:textId="6BE1F1E4" w:rsidR="00352A14" w:rsidRDefault="00A74C32">
      <w:pPr>
        <w:pStyle w:val="TOC2"/>
        <w:rPr>
          <w:rFonts w:asciiTheme="minorHAnsi" w:eastAsiaTheme="minorEastAsia" w:hAnsiTheme="minorHAnsi" w:cstheme="minorBidi"/>
          <w:color w:val="auto"/>
          <w:sz w:val="22"/>
          <w:szCs w:val="22"/>
        </w:rPr>
      </w:pPr>
      <w:hyperlink w:anchor="_Toc54021162" w:history="1">
        <w:r w:rsidR="00352A14" w:rsidRPr="0060319A">
          <w:rPr>
            <w:rStyle w:val="Hyperlink"/>
          </w:rPr>
          <w:t>A.</w:t>
        </w:r>
        <w:r w:rsidR="00352A14">
          <w:rPr>
            <w:rFonts w:asciiTheme="minorHAnsi" w:eastAsiaTheme="minorEastAsia" w:hAnsiTheme="minorHAnsi" w:cstheme="minorBidi"/>
            <w:color w:val="auto"/>
            <w:sz w:val="22"/>
            <w:szCs w:val="22"/>
          </w:rPr>
          <w:tab/>
        </w:r>
        <w:r w:rsidR="00352A14" w:rsidRPr="0060319A">
          <w:rPr>
            <w:rStyle w:val="Hyperlink"/>
          </w:rPr>
          <w:t>The overall impact of the Covid-19 pandemic on conventional broadcasting</w:t>
        </w:r>
        <w:r w:rsidR="00352A14">
          <w:rPr>
            <w:webHidden/>
          </w:rPr>
          <w:tab/>
        </w:r>
        <w:r w:rsidR="00352A14">
          <w:rPr>
            <w:webHidden/>
          </w:rPr>
          <w:fldChar w:fldCharType="begin"/>
        </w:r>
        <w:r w:rsidR="00352A14">
          <w:rPr>
            <w:webHidden/>
          </w:rPr>
          <w:instrText xml:space="preserve"> PAGEREF _Toc54021162 \h </w:instrText>
        </w:r>
        <w:r w:rsidR="00352A14">
          <w:rPr>
            <w:webHidden/>
          </w:rPr>
        </w:r>
        <w:r w:rsidR="00352A14">
          <w:rPr>
            <w:webHidden/>
          </w:rPr>
          <w:fldChar w:fldCharType="separate"/>
        </w:r>
        <w:r>
          <w:rPr>
            <w:webHidden/>
          </w:rPr>
          <w:t>5</w:t>
        </w:r>
        <w:r w:rsidR="00352A14">
          <w:rPr>
            <w:webHidden/>
          </w:rPr>
          <w:fldChar w:fldCharType="end"/>
        </w:r>
      </w:hyperlink>
    </w:p>
    <w:p w14:paraId="6A9B2FAE" w14:textId="4ADADFA0" w:rsidR="00352A14" w:rsidRDefault="00A74C32">
      <w:pPr>
        <w:pStyle w:val="TOC2"/>
        <w:rPr>
          <w:rFonts w:asciiTheme="minorHAnsi" w:eastAsiaTheme="minorEastAsia" w:hAnsiTheme="minorHAnsi" w:cstheme="minorBidi"/>
          <w:color w:val="auto"/>
          <w:sz w:val="22"/>
          <w:szCs w:val="22"/>
        </w:rPr>
      </w:pPr>
      <w:hyperlink w:anchor="_Toc54021163" w:history="1">
        <w:r w:rsidR="00352A14" w:rsidRPr="0060319A">
          <w:rPr>
            <w:rStyle w:val="Hyperlink"/>
          </w:rPr>
          <w:t>B.</w:t>
        </w:r>
        <w:r w:rsidR="00352A14">
          <w:rPr>
            <w:rFonts w:asciiTheme="minorHAnsi" w:eastAsiaTheme="minorEastAsia" w:hAnsiTheme="minorHAnsi" w:cstheme="minorBidi"/>
            <w:color w:val="auto"/>
            <w:sz w:val="22"/>
            <w:szCs w:val="22"/>
          </w:rPr>
          <w:tab/>
        </w:r>
        <w:r w:rsidR="00352A14" w:rsidRPr="0060319A">
          <w:rPr>
            <w:rStyle w:val="Hyperlink"/>
          </w:rPr>
          <w:t>Specific requests made by the CAB</w:t>
        </w:r>
        <w:r w:rsidR="00352A14">
          <w:rPr>
            <w:webHidden/>
          </w:rPr>
          <w:tab/>
        </w:r>
        <w:r w:rsidR="00352A14">
          <w:rPr>
            <w:webHidden/>
          </w:rPr>
          <w:fldChar w:fldCharType="begin"/>
        </w:r>
        <w:r w:rsidR="00352A14">
          <w:rPr>
            <w:webHidden/>
          </w:rPr>
          <w:instrText xml:space="preserve"> PAGEREF _Toc54021163 \h </w:instrText>
        </w:r>
        <w:r w:rsidR="00352A14">
          <w:rPr>
            <w:webHidden/>
          </w:rPr>
        </w:r>
        <w:r w:rsidR="00352A14">
          <w:rPr>
            <w:webHidden/>
          </w:rPr>
          <w:fldChar w:fldCharType="separate"/>
        </w:r>
        <w:r>
          <w:rPr>
            <w:webHidden/>
          </w:rPr>
          <w:t>5</w:t>
        </w:r>
        <w:r w:rsidR="00352A14">
          <w:rPr>
            <w:webHidden/>
          </w:rPr>
          <w:fldChar w:fldCharType="end"/>
        </w:r>
      </w:hyperlink>
    </w:p>
    <w:p w14:paraId="5E81043F" w14:textId="2CF32CCF" w:rsidR="00352A14" w:rsidRDefault="00A74C32">
      <w:pPr>
        <w:pStyle w:val="TOC3"/>
        <w:rPr>
          <w:rFonts w:asciiTheme="minorHAnsi" w:eastAsiaTheme="minorEastAsia" w:hAnsiTheme="minorHAnsi" w:cstheme="minorBidi"/>
          <w:noProof/>
          <w:sz w:val="22"/>
          <w:szCs w:val="22"/>
        </w:rPr>
      </w:pPr>
      <w:hyperlink w:anchor="_Toc54021164" w:history="1">
        <w:r w:rsidR="00352A14" w:rsidRPr="0060319A">
          <w:rPr>
            <w:rStyle w:val="Hyperlink"/>
            <w:noProof/>
          </w:rPr>
          <w:t>1.</w:t>
        </w:r>
        <w:r w:rsidR="00352A14">
          <w:rPr>
            <w:rFonts w:asciiTheme="minorHAnsi" w:eastAsiaTheme="minorEastAsia" w:hAnsiTheme="minorHAnsi" w:cstheme="minorBidi"/>
            <w:noProof/>
            <w:sz w:val="22"/>
            <w:szCs w:val="22"/>
          </w:rPr>
          <w:tab/>
        </w:r>
        <w:r w:rsidR="00352A14" w:rsidRPr="0060319A">
          <w:rPr>
            <w:rStyle w:val="Hyperlink"/>
            <w:noProof/>
          </w:rPr>
          <w:t>Local Management / sales Agreements (LMAs)</w:t>
        </w:r>
        <w:r w:rsidR="00352A14">
          <w:rPr>
            <w:noProof/>
            <w:webHidden/>
          </w:rPr>
          <w:tab/>
        </w:r>
        <w:r w:rsidR="00352A14">
          <w:rPr>
            <w:noProof/>
            <w:webHidden/>
          </w:rPr>
          <w:fldChar w:fldCharType="begin"/>
        </w:r>
        <w:r w:rsidR="00352A14">
          <w:rPr>
            <w:noProof/>
            <w:webHidden/>
          </w:rPr>
          <w:instrText xml:space="preserve"> PAGEREF _Toc54021164 \h </w:instrText>
        </w:r>
        <w:r w:rsidR="00352A14">
          <w:rPr>
            <w:noProof/>
            <w:webHidden/>
          </w:rPr>
        </w:r>
        <w:r w:rsidR="00352A14">
          <w:rPr>
            <w:noProof/>
            <w:webHidden/>
          </w:rPr>
          <w:fldChar w:fldCharType="separate"/>
        </w:r>
        <w:r>
          <w:rPr>
            <w:noProof/>
            <w:webHidden/>
          </w:rPr>
          <w:t>6</w:t>
        </w:r>
        <w:r w:rsidR="00352A14">
          <w:rPr>
            <w:noProof/>
            <w:webHidden/>
          </w:rPr>
          <w:fldChar w:fldCharType="end"/>
        </w:r>
      </w:hyperlink>
    </w:p>
    <w:p w14:paraId="168CBD28" w14:textId="20B060C5" w:rsidR="00352A14" w:rsidRDefault="00A74C32">
      <w:pPr>
        <w:pStyle w:val="TOC3"/>
        <w:rPr>
          <w:rFonts w:asciiTheme="minorHAnsi" w:eastAsiaTheme="minorEastAsia" w:hAnsiTheme="minorHAnsi" w:cstheme="minorBidi"/>
          <w:noProof/>
          <w:sz w:val="22"/>
          <w:szCs w:val="22"/>
        </w:rPr>
      </w:pPr>
      <w:hyperlink w:anchor="_Toc54021165" w:history="1">
        <w:r w:rsidR="00352A14" w:rsidRPr="0060319A">
          <w:rPr>
            <w:rStyle w:val="Hyperlink"/>
            <w:noProof/>
          </w:rPr>
          <w:t>2.</w:t>
        </w:r>
        <w:r w:rsidR="00352A14">
          <w:rPr>
            <w:rFonts w:asciiTheme="minorHAnsi" w:eastAsiaTheme="minorEastAsia" w:hAnsiTheme="minorHAnsi" w:cstheme="minorBidi"/>
            <w:noProof/>
            <w:sz w:val="22"/>
            <w:szCs w:val="22"/>
          </w:rPr>
          <w:tab/>
        </w:r>
        <w:r w:rsidR="00352A14" w:rsidRPr="0060319A">
          <w:rPr>
            <w:rStyle w:val="Hyperlink"/>
            <w:noProof/>
          </w:rPr>
          <w:t>Deemed compliance with CCD and other requirements</w:t>
        </w:r>
        <w:r w:rsidR="00352A14">
          <w:rPr>
            <w:noProof/>
            <w:webHidden/>
          </w:rPr>
          <w:tab/>
        </w:r>
        <w:r w:rsidR="00352A14">
          <w:rPr>
            <w:noProof/>
            <w:webHidden/>
          </w:rPr>
          <w:fldChar w:fldCharType="begin"/>
        </w:r>
        <w:r w:rsidR="00352A14">
          <w:rPr>
            <w:noProof/>
            <w:webHidden/>
          </w:rPr>
          <w:instrText xml:space="preserve"> PAGEREF _Toc54021165 \h </w:instrText>
        </w:r>
        <w:r w:rsidR="00352A14">
          <w:rPr>
            <w:noProof/>
            <w:webHidden/>
          </w:rPr>
        </w:r>
        <w:r w:rsidR="00352A14">
          <w:rPr>
            <w:noProof/>
            <w:webHidden/>
          </w:rPr>
          <w:fldChar w:fldCharType="separate"/>
        </w:r>
        <w:r>
          <w:rPr>
            <w:noProof/>
            <w:webHidden/>
          </w:rPr>
          <w:t>7</w:t>
        </w:r>
        <w:r w:rsidR="00352A14">
          <w:rPr>
            <w:noProof/>
            <w:webHidden/>
          </w:rPr>
          <w:fldChar w:fldCharType="end"/>
        </w:r>
      </w:hyperlink>
    </w:p>
    <w:p w14:paraId="304159F6" w14:textId="3EEEAFE7" w:rsidR="00352A14" w:rsidRDefault="00A74C32">
      <w:pPr>
        <w:pStyle w:val="TOC3"/>
        <w:rPr>
          <w:rFonts w:asciiTheme="minorHAnsi" w:eastAsiaTheme="minorEastAsia" w:hAnsiTheme="minorHAnsi" w:cstheme="minorBidi"/>
          <w:noProof/>
          <w:sz w:val="22"/>
          <w:szCs w:val="22"/>
        </w:rPr>
      </w:pPr>
      <w:hyperlink w:anchor="_Toc54021166" w:history="1">
        <w:r w:rsidR="00352A14" w:rsidRPr="0060319A">
          <w:rPr>
            <w:rStyle w:val="Hyperlink"/>
            <w:noProof/>
          </w:rPr>
          <w:t>3.</w:t>
        </w:r>
        <w:r w:rsidR="00352A14">
          <w:rPr>
            <w:rFonts w:asciiTheme="minorHAnsi" w:eastAsiaTheme="minorEastAsia" w:hAnsiTheme="minorHAnsi" w:cstheme="minorBidi"/>
            <w:noProof/>
            <w:sz w:val="22"/>
            <w:szCs w:val="22"/>
          </w:rPr>
          <w:tab/>
        </w:r>
        <w:r w:rsidR="00352A14" w:rsidRPr="0060319A">
          <w:rPr>
            <w:rStyle w:val="Hyperlink"/>
            <w:noProof/>
          </w:rPr>
          <w:t>Replace local programming with group, regional or national programming</w:t>
        </w:r>
        <w:r w:rsidR="00352A14">
          <w:rPr>
            <w:noProof/>
            <w:webHidden/>
          </w:rPr>
          <w:tab/>
        </w:r>
        <w:r w:rsidR="00352A14">
          <w:rPr>
            <w:noProof/>
            <w:webHidden/>
          </w:rPr>
          <w:fldChar w:fldCharType="begin"/>
        </w:r>
        <w:r w:rsidR="00352A14">
          <w:rPr>
            <w:noProof/>
            <w:webHidden/>
          </w:rPr>
          <w:instrText xml:space="preserve"> PAGEREF _Toc54021166 \h </w:instrText>
        </w:r>
        <w:r w:rsidR="00352A14">
          <w:rPr>
            <w:noProof/>
            <w:webHidden/>
          </w:rPr>
        </w:r>
        <w:r w:rsidR="00352A14">
          <w:rPr>
            <w:noProof/>
            <w:webHidden/>
          </w:rPr>
          <w:fldChar w:fldCharType="separate"/>
        </w:r>
        <w:r>
          <w:rPr>
            <w:noProof/>
            <w:webHidden/>
          </w:rPr>
          <w:t>9</w:t>
        </w:r>
        <w:r w:rsidR="00352A14">
          <w:rPr>
            <w:noProof/>
            <w:webHidden/>
          </w:rPr>
          <w:fldChar w:fldCharType="end"/>
        </w:r>
      </w:hyperlink>
    </w:p>
    <w:p w14:paraId="5624EF35" w14:textId="36CC7BBF" w:rsidR="00352A14" w:rsidRDefault="00A74C32">
      <w:pPr>
        <w:pStyle w:val="TOC3"/>
        <w:rPr>
          <w:rFonts w:asciiTheme="minorHAnsi" w:eastAsiaTheme="minorEastAsia" w:hAnsiTheme="minorHAnsi" w:cstheme="minorBidi"/>
          <w:noProof/>
          <w:sz w:val="22"/>
          <w:szCs w:val="22"/>
        </w:rPr>
      </w:pPr>
      <w:hyperlink w:anchor="_Toc54021167" w:history="1">
        <w:r w:rsidR="00352A14" w:rsidRPr="0060319A">
          <w:rPr>
            <w:rStyle w:val="Hyperlink"/>
            <w:noProof/>
          </w:rPr>
          <w:t>4.</w:t>
        </w:r>
        <w:r w:rsidR="00352A14">
          <w:rPr>
            <w:rFonts w:asciiTheme="minorHAnsi" w:eastAsiaTheme="minorEastAsia" w:hAnsiTheme="minorHAnsi" w:cstheme="minorBidi"/>
            <w:noProof/>
            <w:sz w:val="22"/>
            <w:szCs w:val="22"/>
          </w:rPr>
          <w:tab/>
        </w:r>
        <w:r w:rsidR="00352A14" w:rsidRPr="0060319A">
          <w:rPr>
            <w:rStyle w:val="Hyperlink"/>
            <w:noProof/>
          </w:rPr>
          <w:t>No remedial action for underexpenditures going forward</w:t>
        </w:r>
        <w:r w:rsidR="00352A14">
          <w:rPr>
            <w:noProof/>
            <w:webHidden/>
          </w:rPr>
          <w:tab/>
        </w:r>
        <w:r w:rsidR="00352A14">
          <w:rPr>
            <w:noProof/>
            <w:webHidden/>
          </w:rPr>
          <w:fldChar w:fldCharType="begin"/>
        </w:r>
        <w:r w:rsidR="00352A14">
          <w:rPr>
            <w:noProof/>
            <w:webHidden/>
          </w:rPr>
          <w:instrText xml:space="preserve"> PAGEREF _Toc54021167 \h </w:instrText>
        </w:r>
        <w:r w:rsidR="00352A14">
          <w:rPr>
            <w:noProof/>
            <w:webHidden/>
          </w:rPr>
        </w:r>
        <w:r w:rsidR="00352A14">
          <w:rPr>
            <w:noProof/>
            <w:webHidden/>
          </w:rPr>
          <w:fldChar w:fldCharType="separate"/>
        </w:r>
        <w:r>
          <w:rPr>
            <w:noProof/>
            <w:webHidden/>
          </w:rPr>
          <w:t>10</w:t>
        </w:r>
        <w:r w:rsidR="00352A14">
          <w:rPr>
            <w:noProof/>
            <w:webHidden/>
          </w:rPr>
          <w:fldChar w:fldCharType="end"/>
        </w:r>
      </w:hyperlink>
    </w:p>
    <w:p w14:paraId="61F9B0F9" w14:textId="630DAF87" w:rsidR="00352A14" w:rsidRDefault="00A74C32">
      <w:pPr>
        <w:pStyle w:val="TOC3"/>
        <w:rPr>
          <w:rFonts w:asciiTheme="minorHAnsi" w:eastAsiaTheme="minorEastAsia" w:hAnsiTheme="minorHAnsi" w:cstheme="minorBidi"/>
          <w:noProof/>
          <w:sz w:val="22"/>
          <w:szCs w:val="22"/>
        </w:rPr>
      </w:pPr>
      <w:hyperlink w:anchor="_Toc54021168" w:history="1">
        <w:r w:rsidR="00352A14" w:rsidRPr="0060319A">
          <w:rPr>
            <w:rStyle w:val="Hyperlink"/>
            <w:noProof/>
          </w:rPr>
          <w:t>5.</w:t>
        </w:r>
        <w:r w:rsidR="00352A14">
          <w:rPr>
            <w:rFonts w:asciiTheme="minorHAnsi" w:eastAsiaTheme="minorEastAsia" w:hAnsiTheme="minorHAnsi" w:cstheme="minorBidi"/>
            <w:noProof/>
            <w:sz w:val="22"/>
            <w:szCs w:val="22"/>
          </w:rPr>
          <w:tab/>
        </w:r>
        <w:r w:rsidR="00352A14" w:rsidRPr="0060319A">
          <w:rPr>
            <w:rStyle w:val="Hyperlink"/>
            <w:noProof/>
          </w:rPr>
          <w:t>Stop monitoring</w:t>
        </w:r>
        <w:r w:rsidR="00352A14">
          <w:rPr>
            <w:noProof/>
            <w:webHidden/>
          </w:rPr>
          <w:tab/>
        </w:r>
        <w:r w:rsidR="00352A14">
          <w:rPr>
            <w:noProof/>
            <w:webHidden/>
          </w:rPr>
          <w:fldChar w:fldCharType="begin"/>
        </w:r>
        <w:r w:rsidR="00352A14">
          <w:rPr>
            <w:noProof/>
            <w:webHidden/>
          </w:rPr>
          <w:instrText xml:space="preserve"> PAGEREF _Toc54021168 \h </w:instrText>
        </w:r>
        <w:r w:rsidR="00352A14">
          <w:rPr>
            <w:noProof/>
            <w:webHidden/>
          </w:rPr>
        </w:r>
        <w:r w:rsidR="00352A14">
          <w:rPr>
            <w:noProof/>
            <w:webHidden/>
          </w:rPr>
          <w:fldChar w:fldCharType="separate"/>
        </w:r>
        <w:r>
          <w:rPr>
            <w:noProof/>
            <w:webHidden/>
          </w:rPr>
          <w:t>11</w:t>
        </w:r>
        <w:r w:rsidR="00352A14">
          <w:rPr>
            <w:noProof/>
            <w:webHidden/>
          </w:rPr>
          <w:fldChar w:fldCharType="end"/>
        </w:r>
      </w:hyperlink>
    </w:p>
    <w:p w14:paraId="43072FCD" w14:textId="4FE5BD3B" w:rsidR="00352A14" w:rsidRDefault="00A74C32">
      <w:pPr>
        <w:pStyle w:val="TOC3"/>
        <w:rPr>
          <w:rFonts w:asciiTheme="minorHAnsi" w:eastAsiaTheme="minorEastAsia" w:hAnsiTheme="minorHAnsi" w:cstheme="minorBidi"/>
          <w:noProof/>
          <w:sz w:val="22"/>
          <w:szCs w:val="22"/>
        </w:rPr>
      </w:pPr>
      <w:hyperlink w:anchor="_Toc54021169" w:history="1">
        <w:r w:rsidR="00352A14" w:rsidRPr="0060319A">
          <w:rPr>
            <w:rStyle w:val="Hyperlink"/>
            <w:noProof/>
          </w:rPr>
          <w:t>6.</w:t>
        </w:r>
        <w:r w:rsidR="00352A14">
          <w:rPr>
            <w:rFonts w:asciiTheme="minorHAnsi" w:eastAsiaTheme="minorEastAsia" w:hAnsiTheme="minorHAnsi" w:cstheme="minorBidi"/>
            <w:noProof/>
            <w:sz w:val="22"/>
            <w:szCs w:val="22"/>
          </w:rPr>
          <w:tab/>
        </w:r>
        <w:r w:rsidR="00352A14" w:rsidRPr="0060319A">
          <w:rPr>
            <w:rStyle w:val="Hyperlink"/>
            <w:noProof/>
          </w:rPr>
          <w:t>‘Should resources permit’</w:t>
        </w:r>
        <w:r w:rsidR="00352A14">
          <w:rPr>
            <w:noProof/>
            <w:webHidden/>
          </w:rPr>
          <w:tab/>
        </w:r>
        <w:r w:rsidR="00352A14">
          <w:rPr>
            <w:noProof/>
            <w:webHidden/>
          </w:rPr>
          <w:fldChar w:fldCharType="begin"/>
        </w:r>
        <w:r w:rsidR="00352A14">
          <w:rPr>
            <w:noProof/>
            <w:webHidden/>
          </w:rPr>
          <w:instrText xml:space="preserve"> PAGEREF _Toc54021169 \h </w:instrText>
        </w:r>
        <w:r w:rsidR="00352A14">
          <w:rPr>
            <w:noProof/>
            <w:webHidden/>
          </w:rPr>
        </w:r>
        <w:r w:rsidR="00352A14">
          <w:rPr>
            <w:noProof/>
            <w:webHidden/>
          </w:rPr>
          <w:fldChar w:fldCharType="separate"/>
        </w:r>
        <w:r>
          <w:rPr>
            <w:noProof/>
            <w:webHidden/>
          </w:rPr>
          <w:t>12</w:t>
        </w:r>
        <w:r w:rsidR="00352A14">
          <w:rPr>
            <w:noProof/>
            <w:webHidden/>
          </w:rPr>
          <w:fldChar w:fldCharType="end"/>
        </w:r>
      </w:hyperlink>
    </w:p>
    <w:p w14:paraId="05C1A22B" w14:textId="05541F2A" w:rsidR="00352A14" w:rsidRDefault="00A74C32">
      <w:pPr>
        <w:pStyle w:val="TOC2"/>
        <w:rPr>
          <w:rFonts w:asciiTheme="minorHAnsi" w:eastAsiaTheme="minorEastAsia" w:hAnsiTheme="minorHAnsi" w:cstheme="minorBidi"/>
          <w:color w:val="auto"/>
          <w:sz w:val="22"/>
          <w:szCs w:val="22"/>
        </w:rPr>
      </w:pPr>
      <w:hyperlink w:anchor="_Toc54021170" w:history="1">
        <w:r w:rsidR="00352A14" w:rsidRPr="0060319A">
          <w:rPr>
            <w:rStyle w:val="Hyperlink"/>
          </w:rPr>
          <w:t>C.</w:t>
        </w:r>
        <w:r w:rsidR="00352A14">
          <w:rPr>
            <w:rFonts w:asciiTheme="minorHAnsi" w:eastAsiaTheme="minorEastAsia" w:hAnsiTheme="minorHAnsi" w:cstheme="minorBidi"/>
            <w:color w:val="auto"/>
            <w:sz w:val="22"/>
            <w:szCs w:val="22"/>
          </w:rPr>
          <w:tab/>
        </w:r>
        <w:r w:rsidR="00352A14" w:rsidRPr="0060319A">
          <w:rPr>
            <w:rStyle w:val="Hyperlink"/>
          </w:rPr>
          <w:t>The Forum conditionally supports CAB’s application</w:t>
        </w:r>
        <w:r w:rsidR="00352A14">
          <w:rPr>
            <w:webHidden/>
          </w:rPr>
          <w:tab/>
        </w:r>
        <w:r w:rsidR="00352A14">
          <w:rPr>
            <w:webHidden/>
          </w:rPr>
          <w:fldChar w:fldCharType="begin"/>
        </w:r>
        <w:r w:rsidR="00352A14">
          <w:rPr>
            <w:webHidden/>
          </w:rPr>
          <w:instrText xml:space="preserve"> PAGEREF _Toc54021170 \h </w:instrText>
        </w:r>
        <w:r w:rsidR="00352A14">
          <w:rPr>
            <w:webHidden/>
          </w:rPr>
        </w:r>
        <w:r w:rsidR="00352A14">
          <w:rPr>
            <w:webHidden/>
          </w:rPr>
          <w:fldChar w:fldCharType="separate"/>
        </w:r>
        <w:r>
          <w:rPr>
            <w:webHidden/>
          </w:rPr>
          <w:t>12</w:t>
        </w:r>
        <w:r w:rsidR="00352A14">
          <w:rPr>
            <w:webHidden/>
          </w:rPr>
          <w:fldChar w:fldCharType="end"/>
        </w:r>
      </w:hyperlink>
    </w:p>
    <w:p w14:paraId="7077052A" w14:textId="2FDD6203" w:rsidR="00352A14" w:rsidRDefault="00A74C32">
      <w:pPr>
        <w:pStyle w:val="TOC3"/>
        <w:rPr>
          <w:rFonts w:asciiTheme="minorHAnsi" w:eastAsiaTheme="minorEastAsia" w:hAnsiTheme="minorHAnsi" w:cstheme="minorBidi"/>
          <w:noProof/>
          <w:sz w:val="22"/>
          <w:szCs w:val="22"/>
        </w:rPr>
      </w:pPr>
      <w:hyperlink w:anchor="_Toc54021171" w:history="1">
        <w:r w:rsidR="00352A14" w:rsidRPr="0060319A">
          <w:rPr>
            <w:rStyle w:val="Hyperlink"/>
            <w:rFonts w:cs="Calibri"/>
            <w:noProof/>
          </w:rPr>
          <w:t>1.</w:t>
        </w:r>
        <w:r w:rsidR="00352A14">
          <w:rPr>
            <w:rFonts w:asciiTheme="minorHAnsi" w:eastAsiaTheme="minorEastAsia" w:hAnsiTheme="minorHAnsi" w:cstheme="minorBidi"/>
            <w:noProof/>
            <w:sz w:val="22"/>
            <w:szCs w:val="22"/>
          </w:rPr>
          <w:tab/>
        </w:r>
        <w:r w:rsidR="00352A14" w:rsidRPr="0060319A">
          <w:rPr>
            <w:rStyle w:val="Hyperlink"/>
            <w:rFonts w:cs="Calibri"/>
            <w:noProof/>
          </w:rPr>
          <w:t>The CRTC should focus on small private broadcasters</w:t>
        </w:r>
        <w:r w:rsidR="00352A14">
          <w:rPr>
            <w:noProof/>
            <w:webHidden/>
          </w:rPr>
          <w:tab/>
        </w:r>
        <w:r w:rsidR="00352A14">
          <w:rPr>
            <w:noProof/>
            <w:webHidden/>
          </w:rPr>
          <w:fldChar w:fldCharType="begin"/>
        </w:r>
        <w:r w:rsidR="00352A14">
          <w:rPr>
            <w:noProof/>
            <w:webHidden/>
          </w:rPr>
          <w:instrText xml:space="preserve"> PAGEREF _Toc54021171 \h </w:instrText>
        </w:r>
        <w:r w:rsidR="00352A14">
          <w:rPr>
            <w:noProof/>
            <w:webHidden/>
          </w:rPr>
        </w:r>
        <w:r w:rsidR="00352A14">
          <w:rPr>
            <w:noProof/>
            <w:webHidden/>
          </w:rPr>
          <w:fldChar w:fldCharType="separate"/>
        </w:r>
        <w:r>
          <w:rPr>
            <w:noProof/>
            <w:webHidden/>
          </w:rPr>
          <w:t>14</w:t>
        </w:r>
        <w:r w:rsidR="00352A14">
          <w:rPr>
            <w:noProof/>
            <w:webHidden/>
          </w:rPr>
          <w:fldChar w:fldCharType="end"/>
        </w:r>
      </w:hyperlink>
    </w:p>
    <w:p w14:paraId="210E0948" w14:textId="0831DB69" w:rsidR="00352A14" w:rsidRDefault="00A74C32">
      <w:pPr>
        <w:pStyle w:val="TOC3"/>
        <w:rPr>
          <w:rFonts w:asciiTheme="minorHAnsi" w:eastAsiaTheme="minorEastAsia" w:hAnsiTheme="minorHAnsi" w:cstheme="minorBidi"/>
          <w:noProof/>
          <w:sz w:val="22"/>
          <w:szCs w:val="22"/>
        </w:rPr>
      </w:pPr>
      <w:hyperlink w:anchor="_Toc54021172" w:history="1">
        <w:r w:rsidR="00352A14" w:rsidRPr="0060319A">
          <w:rPr>
            <w:rStyle w:val="Hyperlink"/>
            <w:noProof/>
          </w:rPr>
          <w:t>2.</w:t>
        </w:r>
        <w:r w:rsidR="00352A14">
          <w:rPr>
            <w:rFonts w:asciiTheme="minorHAnsi" w:eastAsiaTheme="minorEastAsia" w:hAnsiTheme="minorHAnsi" w:cstheme="minorBidi"/>
            <w:noProof/>
            <w:sz w:val="22"/>
            <w:szCs w:val="22"/>
          </w:rPr>
          <w:tab/>
        </w:r>
        <w:r w:rsidR="00352A14" w:rsidRPr="0060319A">
          <w:rPr>
            <w:rStyle w:val="Hyperlink"/>
            <w:noProof/>
          </w:rPr>
          <w:t>Support granted must be lawful</w:t>
        </w:r>
        <w:r w:rsidR="00352A14">
          <w:rPr>
            <w:noProof/>
            <w:webHidden/>
          </w:rPr>
          <w:tab/>
        </w:r>
        <w:r w:rsidR="00352A14">
          <w:rPr>
            <w:noProof/>
            <w:webHidden/>
          </w:rPr>
          <w:fldChar w:fldCharType="begin"/>
        </w:r>
        <w:r w:rsidR="00352A14">
          <w:rPr>
            <w:noProof/>
            <w:webHidden/>
          </w:rPr>
          <w:instrText xml:space="preserve"> PAGEREF _Toc54021172 \h </w:instrText>
        </w:r>
        <w:r w:rsidR="00352A14">
          <w:rPr>
            <w:noProof/>
            <w:webHidden/>
          </w:rPr>
        </w:r>
        <w:r w:rsidR="00352A14">
          <w:rPr>
            <w:noProof/>
            <w:webHidden/>
          </w:rPr>
          <w:fldChar w:fldCharType="separate"/>
        </w:r>
        <w:r>
          <w:rPr>
            <w:noProof/>
            <w:webHidden/>
          </w:rPr>
          <w:t>15</w:t>
        </w:r>
        <w:r w:rsidR="00352A14">
          <w:rPr>
            <w:noProof/>
            <w:webHidden/>
          </w:rPr>
          <w:fldChar w:fldCharType="end"/>
        </w:r>
      </w:hyperlink>
    </w:p>
    <w:p w14:paraId="3286CDB9" w14:textId="4F4B50FE" w:rsidR="00352A14" w:rsidRDefault="00A74C32">
      <w:pPr>
        <w:pStyle w:val="TOC3"/>
        <w:rPr>
          <w:rFonts w:asciiTheme="minorHAnsi" w:eastAsiaTheme="minorEastAsia" w:hAnsiTheme="minorHAnsi" w:cstheme="minorBidi"/>
          <w:noProof/>
          <w:sz w:val="22"/>
          <w:szCs w:val="22"/>
        </w:rPr>
      </w:pPr>
      <w:hyperlink w:anchor="_Toc54021173" w:history="1">
        <w:r w:rsidR="00352A14" w:rsidRPr="0060319A">
          <w:rPr>
            <w:rStyle w:val="Hyperlink"/>
            <w:noProof/>
          </w:rPr>
          <w:t>3.</w:t>
        </w:r>
        <w:r w:rsidR="00352A14">
          <w:rPr>
            <w:rFonts w:asciiTheme="minorHAnsi" w:eastAsiaTheme="minorEastAsia" w:hAnsiTheme="minorHAnsi" w:cstheme="minorBidi"/>
            <w:noProof/>
            <w:sz w:val="22"/>
            <w:szCs w:val="22"/>
          </w:rPr>
          <w:tab/>
        </w:r>
        <w:r w:rsidR="00352A14" w:rsidRPr="0060319A">
          <w:rPr>
            <w:rStyle w:val="Hyperlink"/>
            <w:noProof/>
          </w:rPr>
          <w:t>Changes must not be permanent</w:t>
        </w:r>
        <w:r w:rsidR="00352A14">
          <w:rPr>
            <w:noProof/>
            <w:webHidden/>
          </w:rPr>
          <w:tab/>
        </w:r>
        <w:r w:rsidR="00352A14">
          <w:rPr>
            <w:noProof/>
            <w:webHidden/>
          </w:rPr>
          <w:fldChar w:fldCharType="begin"/>
        </w:r>
        <w:r w:rsidR="00352A14">
          <w:rPr>
            <w:noProof/>
            <w:webHidden/>
          </w:rPr>
          <w:instrText xml:space="preserve"> PAGEREF _Toc54021173 \h </w:instrText>
        </w:r>
        <w:r w:rsidR="00352A14">
          <w:rPr>
            <w:noProof/>
            <w:webHidden/>
          </w:rPr>
        </w:r>
        <w:r w:rsidR="00352A14">
          <w:rPr>
            <w:noProof/>
            <w:webHidden/>
          </w:rPr>
          <w:fldChar w:fldCharType="separate"/>
        </w:r>
        <w:r>
          <w:rPr>
            <w:noProof/>
            <w:webHidden/>
          </w:rPr>
          <w:t>15</w:t>
        </w:r>
        <w:r w:rsidR="00352A14">
          <w:rPr>
            <w:noProof/>
            <w:webHidden/>
          </w:rPr>
          <w:fldChar w:fldCharType="end"/>
        </w:r>
      </w:hyperlink>
    </w:p>
    <w:p w14:paraId="788EFF61" w14:textId="1AFED3DC" w:rsidR="00352A14" w:rsidRDefault="00A74C32">
      <w:pPr>
        <w:pStyle w:val="TOC1"/>
        <w:rPr>
          <w:rFonts w:asciiTheme="minorHAnsi" w:eastAsiaTheme="minorEastAsia" w:hAnsiTheme="minorHAnsi" w:cstheme="minorBidi"/>
          <w:b w:val="0"/>
          <w:bCs w:val="0"/>
          <w:color w:val="auto"/>
          <w:sz w:val="22"/>
          <w:szCs w:val="22"/>
        </w:rPr>
      </w:pPr>
      <w:hyperlink w:anchor="_Toc54021174" w:history="1">
        <w:r w:rsidR="00352A14" w:rsidRPr="0060319A">
          <w:rPr>
            <w:rStyle w:val="Hyperlink"/>
            <w:rFonts w:cstheme="minorHAnsi"/>
          </w:rPr>
          <w:t>Appendices</w:t>
        </w:r>
        <w:r w:rsidR="00352A14">
          <w:rPr>
            <w:webHidden/>
          </w:rPr>
          <w:tab/>
        </w:r>
        <w:r w:rsidR="00352A14">
          <w:rPr>
            <w:webHidden/>
          </w:rPr>
          <w:fldChar w:fldCharType="begin"/>
        </w:r>
        <w:r w:rsidR="00352A14">
          <w:rPr>
            <w:webHidden/>
          </w:rPr>
          <w:instrText xml:space="preserve"> PAGEREF _Toc54021174 \h </w:instrText>
        </w:r>
        <w:r w:rsidR="00352A14">
          <w:rPr>
            <w:webHidden/>
          </w:rPr>
        </w:r>
        <w:r w:rsidR="00352A14">
          <w:rPr>
            <w:webHidden/>
          </w:rPr>
          <w:fldChar w:fldCharType="separate"/>
        </w:r>
        <w:r>
          <w:rPr>
            <w:webHidden/>
          </w:rPr>
          <w:t>1</w:t>
        </w:r>
        <w:r w:rsidR="00352A14">
          <w:rPr>
            <w:webHidden/>
          </w:rPr>
          <w:fldChar w:fldCharType="end"/>
        </w:r>
      </w:hyperlink>
    </w:p>
    <w:p w14:paraId="20E82FE4" w14:textId="05A7856F" w:rsidR="00352A14" w:rsidRDefault="00A74C32">
      <w:pPr>
        <w:pStyle w:val="TOC1"/>
        <w:rPr>
          <w:rFonts w:asciiTheme="minorHAnsi" w:eastAsiaTheme="minorEastAsia" w:hAnsiTheme="minorHAnsi" w:cstheme="minorBidi"/>
          <w:b w:val="0"/>
          <w:bCs w:val="0"/>
          <w:color w:val="auto"/>
          <w:sz w:val="22"/>
          <w:szCs w:val="22"/>
        </w:rPr>
      </w:pPr>
      <w:hyperlink w:anchor="_Toc54021175" w:history="1">
        <w:r w:rsidR="00352A14" w:rsidRPr="0060319A">
          <w:rPr>
            <w:rStyle w:val="Hyperlink"/>
          </w:rPr>
          <w:t>Endnotes</w:t>
        </w:r>
        <w:r w:rsidR="00352A14">
          <w:rPr>
            <w:webHidden/>
          </w:rPr>
          <w:tab/>
        </w:r>
        <w:r w:rsidR="00352A14">
          <w:rPr>
            <w:webHidden/>
          </w:rPr>
          <w:fldChar w:fldCharType="begin"/>
        </w:r>
        <w:r w:rsidR="00352A14">
          <w:rPr>
            <w:webHidden/>
          </w:rPr>
          <w:instrText xml:space="preserve"> PAGEREF _Toc54021175 \h </w:instrText>
        </w:r>
        <w:r w:rsidR="00352A14">
          <w:rPr>
            <w:webHidden/>
          </w:rPr>
        </w:r>
        <w:r w:rsidR="00352A14">
          <w:rPr>
            <w:webHidden/>
          </w:rPr>
          <w:fldChar w:fldCharType="separate"/>
        </w:r>
        <w:r>
          <w:rPr>
            <w:webHidden/>
          </w:rPr>
          <w:t>1</w:t>
        </w:r>
        <w:r w:rsidR="00352A14">
          <w:rPr>
            <w:webHidden/>
          </w:rPr>
          <w:fldChar w:fldCharType="end"/>
        </w:r>
      </w:hyperlink>
    </w:p>
    <w:p w14:paraId="534DA88C" w14:textId="0681F6DA" w:rsidR="00AD6BB5" w:rsidRDefault="001051A3" w:rsidP="00574FBB">
      <w:pPr>
        <w:rPr>
          <w:rFonts w:ascii="Calibri" w:hAnsi="Calibri" w:cs="Calibri"/>
        </w:rPr>
      </w:pPr>
      <w:r w:rsidRPr="00141590">
        <w:rPr>
          <w:rFonts w:ascii="Calibri" w:hAnsi="Calibri" w:cs="Calibri"/>
        </w:rPr>
        <w:fldChar w:fldCharType="end"/>
      </w:r>
    </w:p>
    <w:p w14:paraId="3EB39921" w14:textId="77777777" w:rsidR="00AD6BB5" w:rsidRDefault="00AD6BB5">
      <w:pPr>
        <w:rPr>
          <w:rFonts w:ascii="Calibri" w:hAnsi="Calibri" w:cs="Calibri"/>
        </w:rPr>
      </w:pPr>
      <w:r>
        <w:rPr>
          <w:rFonts w:ascii="Calibri" w:hAnsi="Calibri" w:cs="Calibri"/>
        </w:rPr>
        <w:br w:type="page"/>
      </w:r>
    </w:p>
    <w:p w14:paraId="2F75F77C" w14:textId="3C5290EB" w:rsidR="005E395B" w:rsidRPr="005E395B" w:rsidRDefault="005E395B" w:rsidP="00574FBB">
      <w:pPr>
        <w:rPr>
          <w:rFonts w:ascii="Calibri" w:hAnsi="Calibri" w:cs="Calibri"/>
          <w:b/>
          <w:bCs/>
        </w:rPr>
      </w:pPr>
      <w:r>
        <w:rPr>
          <w:rFonts w:ascii="Calibri" w:hAnsi="Calibri" w:cs="Calibri"/>
          <w:b/>
          <w:bCs/>
        </w:rPr>
        <w:lastRenderedPageBreak/>
        <w:t>Tables</w:t>
      </w:r>
    </w:p>
    <w:p w14:paraId="42D3C78D" w14:textId="77777777" w:rsidR="005E395B" w:rsidRDefault="005E395B" w:rsidP="00574FBB">
      <w:pPr>
        <w:rPr>
          <w:rFonts w:ascii="Calibri" w:hAnsi="Calibri" w:cs="Calibri"/>
        </w:rPr>
      </w:pPr>
    </w:p>
    <w:p w14:paraId="12BC34DD" w14:textId="01AFE12B" w:rsidR="0000471F" w:rsidRDefault="005E395B">
      <w:pPr>
        <w:pStyle w:val="TableofFigures"/>
        <w:rPr>
          <w:rFonts w:eastAsiaTheme="minorEastAsia" w:cstheme="minorBidi"/>
        </w:rPr>
      </w:pPr>
      <w:r>
        <w:rPr>
          <w:rFonts w:ascii="Calibri" w:hAnsi="Calibri" w:cs="Calibri"/>
        </w:rPr>
        <w:fldChar w:fldCharType="begin"/>
      </w:r>
      <w:r>
        <w:rPr>
          <w:rFonts w:ascii="Calibri" w:hAnsi="Calibri" w:cs="Calibri"/>
        </w:rPr>
        <w:instrText xml:space="preserve"> TOC \h \z \c "Table" </w:instrText>
      </w:r>
      <w:r>
        <w:rPr>
          <w:rFonts w:ascii="Calibri" w:hAnsi="Calibri" w:cs="Calibri"/>
        </w:rPr>
        <w:fldChar w:fldCharType="separate"/>
      </w:r>
      <w:hyperlink w:anchor="_Toc54017094" w:history="1">
        <w:r w:rsidR="0000471F" w:rsidRPr="006E7BB8">
          <w:rPr>
            <w:rStyle w:val="Hyperlink"/>
          </w:rPr>
          <w:t>Table 1</w:t>
        </w:r>
        <w:r w:rsidR="0000471F">
          <w:rPr>
            <w:rFonts w:eastAsiaTheme="minorEastAsia" w:cstheme="minorBidi"/>
          </w:rPr>
          <w:tab/>
        </w:r>
        <w:r w:rsidR="0000471F" w:rsidRPr="006E7BB8">
          <w:rPr>
            <w:rStyle w:val="Hyperlink"/>
          </w:rPr>
          <w:t>Private conventional TV and radio, projected revenues for 2019/20</w:t>
        </w:r>
        <w:r w:rsidR="0000471F">
          <w:rPr>
            <w:webHidden/>
          </w:rPr>
          <w:tab/>
        </w:r>
        <w:r w:rsidR="0000471F">
          <w:rPr>
            <w:webHidden/>
          </w:rPr>
          <w:fldChar w:fldCharType="begin"/>
        </w:r>
        <w:r w:rsidR="0000471F">
          <w:rPr>
            <w:webHidden/>
          </w:rPr>
          <w:instrText xml:space="preserve"> PAGEREF _Toc54017094 \h </w:instrText>
        </w:r>
        <w:r w:rsidR="0000471F">
          <w:rPr>
            <w:webHidden/>
          </w:rPr>
        </w:r>
        <w:r w:rsidR="0000471F">
          <w:rPr>
            <w:webHidden/>
          </w:rPr>
          <w:fldChar w:fldCharType="separate"/>
        </w:r>
        <w:r w:rsidR="00A74C32">
          <w:rPr>
            <w:webHidden/>
          </w:rPr>
          <w:t>1</w:t>
        </w:r>
        <w:r w:rsidR="0000471F">
          <w:rPr>
            <w:webHidden/>
          </w:rPr>
          <w:fldChar w:fldCharType="end"/>
        </w:r>
      </w:hyperlink>
    </w:p>
    <w:p w14:paraId="5944BFF3" w14:textId="53AC2B46" w:rsidR="0000471F" w:rsidRDefault="00A74C32">
      <w:pPr>
        <w:pStyle w:val="TableofFigures"/>
        <w:rPr>
          <w:rFonts w:eastAsiaTheme="minorEastAsia" w:cstheme="minorBidi"/>
        </w:rPr>
      </w:pPr>
      <w:hyperlink w:anchor="_Toc54017095" w:history="1">
        <w:r w:rsidR="0000471F" w:rsidRPr="006E7BB8">
          <w:rPr>
            <w:rStyle w:val="Hyperlink"/>
          </w:rPr>
          <w:t>Table 2</w:t>
        </w:r>
        <w:r w:rsidR="0000471F">
          <w:rPr>
            <w:rFonts w:eastAsiaTheme="minorEastAsia" w:cstheme="minorBidi"/>
          </w:rPr>
          <w:tab/>
        </w:r>
        <w:r w:rsidR="0000471F" w:rsidRPr="006E7BB8">
          <w:rPr>
            <w:rStyle w:val="Hyperlink"/>
          </w:rPr>
          <w:t>Private radio and television stations’ revenues in 2018/19</w:t>
        </w:r>
        <w:r w:rsidR="0000471F">
          <w:rPr>
            <w:webHidden/>
          </w:rPr>
          <w:tab/>
        </w:r>
        <w:r w:rsidR="0000471F">
          <w:rPr>
            <w:webHidden/>
          </w:rPr>
          <w:fldChar w:fldCharType="begin"/>
        </w:r>
        <w:r w:rsidR="0000471F">
          <w:rPr>
            <w:webHidden/>
          </w:rPr>
          <w:instrText xml:space="preserve"> PAGEREF _Toc54017095 \h </w:instrText>
        </w:r>
        <w:r w:rsidR="0000471F">
          <w:rPr>
            <w:webHidden/>
          </w:rPr>
        </w:r>
        <w:r w:rsidR="0000471F">
          <w:rPr>
            <w:webHidden/>
          </w:rPr>
          <w:fldChar w:fldCharType="separate"/>
        </w:r>
        <w:r>
          <w:rPr>
            <w:webHidden/>
          </w:rPr>
          <w:t>3</w:t>
        </w:r>
        <w:r w:rsidR="0000471F">
          <w:rPr>
            <w:webHidden/>
          </w:rPr>
          <w:fldChar w:fldCharType="end"/>
        </w:r>
      </w:hyperlink>
    </w:p>
    <w:p w14:paraId="3D84B9ED" w14:textId="4C826593" w:rsidR="0000471F" w:rsidRDefault="00A74C32">
      <w:pPr>
        <w:pStyle w:val="TableofFigures"/>
        <w:rPr>
          <w:rFonts w:eastAsiaTheme="minorEastAsia" w:cstheme="minorBidi"/>
        </w:rPr>
      </w:pPr>
      <w:hyperlink w:anchor="_Toc54017096" w:history="1">
        <w:r w:rsidR="0000471F" w:rsidRPr="006E7BB8">
          <w:rPr>
            <w:rStyle w:val="Hyperlink"/>
          </w:rPr>
          <w:t>Table 3</w:t>
        </w:r>
        <w:r w:rsidR="0000471F">
          <w:rPr>
            <w:rFonts w:eastAsiaTheme="minorEastAsia" w:cstheme="minorBidi"/>
          </w:rPr>
          <w:tab/>
        </w:r>
        <w:r w:rsidR="0000471F" w:rsidRPr="006E7BB8">
          <w:rPr>
            <w:rStyle w:val="Hyperlink"/>
          </w:rPr>
          <w:t>Estimated decrease in conventional advertising revenues in 2019/20</w:t>
        </w:r>
        <w:r w:rsidR="0000471F">
          <w:rPr>
            <w:webHidden/>
          </w:rPr>
          <w:tab/>
        </w:r>
        <w:r w:rsidR="0000471F">
          <w:rPr>
            <w:webHidden/>
          </w:rPr>
          <w:fldChar w:fldCharType="begin"/>
        </w:r>
        <w:r w:rsidR="0000471F">
          <w:rPr>
            <w:webHidden/>
          </w:rPr>
          <w:instrText xml:space="preserve"> PAGEREF _Toc54017096 \h </w:instrText>
        </w:r>
        <w:r w:rsidR="0000471F">
          <w:rPr>
            <w:webHidden/>
          </w:rPr>
        </w:r>
        <w:r w:rsidR="0000471F">
          <w:rPr>
            <w:webHidden/>
          </w:rPr>
          <w:fldChar w:fldCharType="separate"/>
        </w:r>
        <w:r>
          <w:rPr>
            <w:webHidden/>
          </w:rPr>
          <w:t>3</w:t>
        </w:r>
        <w:r w:rsidR="0000471F">
          <w:rPr>
            <w:webHidden/>
          </w:rPr>
          <w:fldChar w:fldCharType="end"/>
        </w:r>
      </w:hyperlink>
    </w:p>
    <w:p w14:paraId="27DD7B1C" w14:textId="5639C4C6" w:rsidR="0000471F" w:rsidRDefault="00A74C32">
      <w:pPr>
        <w:pStyle w:val="TableofFigures"/>
        <w:rPr>
          <w:rFonts w:eastAsiaTheme="minorEastAsia" w:cstheme="minorBidi"/>
        </w:rPr>
      </w:pPr>
      <w:hyperlink w:anchor="_Toc54017097" w:history="1">
        <w:r w:rsidR="0000471F" w:rsidRPr="006E7BB8">
          <w:rPr>
            <w:rStyle w:val="Hyperlink"/>
          </w:rPr>
          <w:t>Table 4</w:t>
        </w:r>
        <w:r w:rsidR="0000471F">
          <w:rPr>
            <w:rFonts w:eastAsiaTheme="minorEastAsia" w:cstheme="minorBidi"/>
          </w:rPr>
          <w:tab/>
        </w:r>
        <w:r w:rsidR="0000471F" w:rsidRPr="006E7BB8">
          <w:rPr>
            <w:rStyle w:val="Hyperlink"/>
          </w:rPr>
          <w:t>Estimated impact of CAB’s proposal on local programming expenditures</w:t>
        </w:r>
        <w:r w:rsidR="0000471F">
          <w:rPr>
            <w:webHidden/>
          </w:rPr>
          <w:tab/>
        </w:r>
        <w:r w:rsidR="0000471F">
          <w:rPr>
            <w:webHidden/>
          </w:rPr>
          <w:fldChar w:fldCharType="begin"/>
        </w:r>
        <w:r w:rsidR="0000471F">
          <w:rPr>
            <w:webHidden/>
          </w:rPr>
          <w:instrText xml:space="preserve"> PAGEREF _Toc54017097 \h </w:instrText>
        </w:r>
        <w:r w:rsidR="0000471F">
          <w:rPr>
            <w:webHidden/>
          </w:rPr>
        </w:r>
        <w:r w:rsidR="0000471F">
          <w:rPr>
            <w:webHidden/>
          </w:rPr>
          <w:fldChar w:fldCharType="separate"/>
        </w:r>
        <w:r>
          <w:rPr>
            <w:webHidden/>
          </w:rPr>
          <w:t>10</w:t>
        </w:r>
        <w:r w:rsidR="0000471F">
          <w:rPr>
            <w:webHidden/>
          </w:rPr>
          <w:fldChar w:fldCharType="end"/>
        </w:r>
      </w:hyperlink>
    </w:p>
    <w:p w14:paraId="76C8BBFB" w14:textId="5D4CF90A" w:rsidR="0000471F" w:rsidRDefault="00A74C32">
      <w:pPr>
        <w:pStyle w:val="TableofFigures"/>
        <w:rPr>
          <w:rFonts w:eastAsiaTheme="minorEastAsia" w:cstheme="minorBidi"/>
        </w:rPr>
      </w:pPr>
      <w:hyperlink w:anchor="_Toc54017098" w:history="1">
        <w:r w:rsidR="0000471F" w:rsidRPr="006E7BB8">
          <w:rPr>
            <w:rStyle w:val="Hyperlink"/>
          </w:rPr>
          <w:t>Table 5</w:t>
        </w:r>
        <w:r w:rsidR="0000471F">
          <w:rPr>
            <w:rFonts w:eastAsiaTheme="minorEastAsia" w:cstheme="minorBidi"/>
          </w:rPr>
          <w:tab/>
        </w:r>
        <w:r w:rsidR="0000471F" w:rsidRPr="006E7BB8">
          <w:rPr>
            <w:rStyle w:val="Hyperlink"/>
          </w:rPr>
          <w:t>Share of revenues of five largest ownership groups, by programming sector</w:t>
        </w:r>
        <w:r w:rsidR="0000471F">
          <w:rPr>
            <w:webHidden/>
          </w:rPr>
          <w:tab/>
        </w:r>
        <w:r w:rsidR="0000471F">
          <w:rPr>
            <w:webHidden/>
          </w:rPr>
          <w:fldChar w:fldCharType="begin"/>
        </w:r>
        <w:r w:rsidR="0000471F">
          <w:rPr>
            <w:webHidden/>
          </w:rPr>
          <w:instrText xml:space="preserve"> PAGEREF _Toc54017098 \h </w:instrText>
        </w:r>
        <w:r w:rsidR="0000471F">
          <w:rPr>
            <w:webHidden/>
          </w:rPr>
        </w:r>
        <w:r w:rsidR="0000471F">
          <w:rPr>
            <w:webHidden/>
          </w:rPr>
          <w:fldChar w:fldCharType="separate"/>
        </w:r>
        <w:r>
          <w:rPr>
            <w:webHidden/>
          </w:rPr>
          <w:t>14</w:t>
        </w:r>
        <w:r w:rsidR="0000471F">
          <w:rPr>
            <w:webHidden/>
          </w:rPr>
          <w:fldChar w:fldCharType="end"/>
        </w:r>
      </w:hyperlink>
    </w:p>
    <w:p w14:paraId="0DE09215" w14:textId="7064CBD6" w:rsidR="0000471F" w:rsidRDefault="00A74C32">
      <w:pPr>
        <w:pStyle w:val="TableofFigures"/>
        <w:rPr>
          <w:rFonts w:eastAsiaTheme="minorEastAsia" w:cstheme="minorBidi"/>
        </w:rPr>
      </w:pPr>
      <w:hyperlink w:anchor="_Toc54017099" w:history="1">
        <w:r w:rsidR="0000471F" w:rsidRPr="006E7BB8">
          <w:rPr>
            <w:rStyle w:val="Hyperlink"/>
          </w:rPr>
          <w:t>Table 6</w:t>
        </w:r>
        <w:r w:rsidR="0000471F">
          <w:rPr>
            <w:rFonts w:eastAsiaTheme="minorEastAsia" w:cstheme="minorBidi"/>
          </w:rPr>
          <w:tab/>
        </w:r>
        <w:r w:rsidR="0000471F" w:rsidRPr="006E7BB8">
          <w:rPr>
            <w:rStyle w:val="Hyperlink"/>
          </w:rPr>
          <w:t>Expiry dates of ownership group licences</w:t>
        </w:r>
        <w:r w:rsidR="0000471F">
          <w:rPr>
            <w:webHidden/>
          </w:rPr>
          <w:tab/>
        </w:r>
        <w:r w:rsidR="0000471F">
          <w:rPr>
            <w:webHidden/>
          </w:rPr>
          <w:fldChar w:fldCharType="begin"/>
        </w:r>
        <w:r w:rsidR="0000471F">
          <w:rPr>
            <w:webHidden/>
          </w:rPr>
          <w:instrText xml:space="preserve"> PAGEREF _Toc54017099 \h </w:instrText>
        </w:r>
        <w:r w:rsidR="0000471F">
          <w:rPr>
            <w:webHidden/>
          </w:rPr>
        </w:r>
        <w:r w:rsidR="0000471F">
          <w:rPr>
            <w:webHidden/>
          </w:rPr>
          <w:fldChar w:fldCharType="separate"/>
        </w:r>
        <w:r>
          <w:rPr>
            <w:webHidden/>
          </w:rPr>
          <w:t>16</w:t>
        </w:r>
        <w:r w:rsidR="0000471F">
          <w:rPr>
            <w:webHidden/>
          </w:rPr>
          <w:fldChar w:fldCharType="end"/>
        </w:r>
      </w:hyperlink>
    </w:p>
    <w:p w14:paraId="45C00191" w14:textId="7B50F9E1" w:rsidR="005E395B" w:rsidRDefault="005E395B" w:rsidP="00574FBB">
      <w:pPr>
        <w:rPr>
          <w:rFonts w:ascii="Calibri" w:hAnsi="Calibri" w:cs="Calibri"/>
        </w:rPr>
      </w:pPr>
      <w:r>
        <w:rPr>
          <w:rFonts w:ascii="Calibri" w:hAnsi="Calibri" w:cs="Calibri"/>
        </w:rPr>
        <w:fldChar w:fldCharType="end"/>
      </w:r>
    </w:p>
    <w:p w14:paraId="63E2941F" w14:textId="5D0D4D56" w:rsidR="005E395B" w:rsidRDefault="005E395B" w:rsidP="00574FBB">
      <w:pPr>
        <w:rPr>
          <w:rFonts w:ascii="Calibri" w:hAnsi="Calibri" w:cs="Calibri"/>
        </w:rPr>
      </w:pPr>
    </w:p>
    <w:p w14:paraId="625CCDFB" w14:textId="47077E96" w:rsidR="005E395B" w:rsidRDefault="005E395B" w:rsidP="00574FBB">
      <w:pPr>
        <w:rPr>
          <w:rFonts w:ascii="Calibri" w:hAnsi="Calibri" w:cs="Calibri"/>
          <w:b/>
          <w:bCs/>
        </w:rPr>
      </w:pPr>
      <w:r>
        <w:rPr>
          <w:rFonts w:ascii="Calibri" w:hAnsi="Calibri" w:cs="Calibri"/>
          <w:b/>
          <w:bCs/>
        </w:rPr>
        <w:t>Appendices</w:t>
      </w:r>
    </w:p>
    <w:p w14:paraId="05902341" w14:textId="05A51CA1" w:rsidR="005E395B" w:rsidRDefault="005E395B" w:rsidP="00574FBB">
      <w:pPr>
        <w:rPr>
          <w:rFonts w:ascii="Calibri" w:hAnsi="Calibri" w:cs="Calibri"/>
        </w:rPr>
      </w:pPr>
    </w:p>
    <w:p w14:paraId="6E125211" w14:textId="464FC5BC" w:rsidR="00352A14" w:rsidRDefault="000C0055">
      <w:pPr>
        <w:pStyle w:val="TableofFigures"/>
        <w:rPr>
          <w:rFonts w:eastAsiaTheme="minorEastAsia" w:cstheme="minorBidi"/>
        </w:rPr>
      </w:pPr>
      <w:r>
        <w:rPr>
          <w:rFonts w:ascii="Calibri" w:hAnsi="Calibri" w:cs="Calibri"/>
        </w:rPr>
        <w:fldChar w:fldCharType="begin"/>
      </w:r>
      <w:r>
        <w:rPr>
          <w:rFonts w:ascii="Calibri" w:hAnsi="Calibri" w:cs="Calibri"/>
        </w:rPr>
        <w:instrText xml:space="preserve"> TOC \h \z \c "Appendix" </w:instrText>
      </w:r>
      <w:r>
        <w:rPr>
          <w:rFonts w:ascii="Calibri" w:hAnsi="Calibri" w:cs="Calibri"/>
        </w:rPr>
        <w:fldChar w:fldCharType="separate"/>
      </w:r>
      <w:hyperlink w:anchor="_Toc54021143" w:history="1">
        <w:r w:rsidR="00352A14" w:rsidRPr="00A90A29">
          <w:rPr>
            <w:rStyle w:val="Hyperlink"/>
          </w:rPr>
          <w:t>Appendix 1</w:t>
        </w:r>
        <w:r w:rsidR="00352A14">
          <w:rPr>
            <w:rFonts w:eastAsiaTheme="minorEastAsia" w:cstheme="minorBidi"/>
          </w:rPr>
          <w:tab/>
        </w:r>
        <w:r w:rsidR="00352A14" w:rsidRPr="00A90A29">
          <w:rPr>
            <w:rStyle w:val="Hyperlink"/>
          </w:rPr>
          <w:t>Relationship between private radio advertising revenues and GDP</w:t>
        </w:r>
        <w:r w:rsidR="00352A14">
          <w:rPr>
            <w:webHidden/>
          </w:rPr>
          <w:tab/>
        </w:r>
        <w:r w:rsidR="00352A14">
          <w:rPr>
            <w:webHidden/>
          </w:rPr>
          <w:fldChar w:fldCharType="begin"/>
        </w:r>
        <w:r w:rsidR="00352A14">
          <w:rPr>
            <w:webHidden/>
          </w:rPr>
          <w:instrText xml:space="preserve"> PAGEREF _Toc54021143 \h </w:instrText>
        </w:r>
        <w:r w:rsidR="00352A14">
          <w:rPr>
            <w:webHidden/>
          </w:rPr>
        </w:r>
        <w:r w:rsidR="00352A14">
          <w:rPr>
            <w:webHidden/>
          </w:rPr>
          <w:fldChar w:fldCharType="separate"/>
        </w:r>
        <w:r w:rsidR="00A74C32">
          <w:rPr>
            <w:webHidden/>
          </w:rPr>
          <w:t>1</w:t>
        </w:r>
        <w:r w:rsidR="00352A14">
          <w:rPr>
            <w:webHidden/>
          </w:rPr>
          <w:fldChar w:fldCharType="end"/>
        </w:r>
      </w:hyperlink>
    </w:p>
    <w:p w14:paraId="4FE34E83" w14:textId="22D917EF" w:rsidR="00352A14" w:rsidRDefault="00A74C32">
      <w:pPr>
        <w:pStyle w:val="TableofFigures"/>
        <w:rPr>
          <w:rFonts w:eastAsiaTheme="minorEastAsia" w:cstheme="minorBidi"/>
        </w:rPr>
      </w:pPr>
      <w:hyperlink w:anchor="_Toc54021144" w:history="1">
        <w:r w:rsidR="00352A14" w:rsidRPr="00A90A29">
          <w:rPr>
            <w:rStyle w:val="Hyperlink"/>
          </w:rPr>
          <w:t>Appendix 2</w:t>
        </w:r>
        <w:r w:rsidR="00352A14">
          <w:rPr>
            <w:rFonts w:eastAsiaTheme="minorEastAsia" w:cstheme="minorBidi"/>
          </w:rPr>
          <w:tab/>
        </w:r>
        <w:r w:rsidR="00352A14" w:rsidRPr="00A90A29">
          <w:rPr>
            <w:rStyle w:val="Hyperlink"/>
          </w:rPr>
          <w:t>Relationship between private TV advertising revenues and GDP</w:t>
        </w:r>
        <w:r w:rsidR="00352A14">
          <w:rPr>
            <w:webHidden/>
          </w:rPr>
          <w:tab/>
        </w:r>
        <w:r w:rsidR="00352A14">
          <w:rPr>
            <w:webHidden/>
          </w:rPr>
          <w:fldChar w:fldCharType="begin"/>
        </w:r>
        <w:r w:rsidR="00352A14">
          <w:rPr>
            <w:webHidden/>
          </w:rPr>
          <w:instrText xml:space="preserve"> PAGEREF _Toc54021144 \h </w:instrText>
        </w:r>
        <w:r w:rsidR="00352A14">
          <w:rPr>
            <w:webHidden/>
          </w:rPr>
        </w:r>
        <w:r w:rsidR="00352A14">
          <w:rPr>
            <w:webHidden/>
          </w:rPr>
          <w:fldChar w:fldCharType="separate"/>
        </w:r>
        <w:r>
          <w:rPr>
            <w:webHidden/>
          </w:rPr>
          <w:t>2</w:t>
        </w:r>
        <w:r w:rsidR="00352A14">
          <w:rPr>
            <w:webHidden/>
          </w:rPr>
          <w:fldChar w:fldCharType="end"/>
        </w:r>
      </w:hyperlink>
    </w:p>
    <w:p w14:paraId="5E47C6A3" w14:textId="7D1A037C" w:rsidR="00352A14" w:rsidRDefault="00A74C32">
      <w:pPr>
        <w:pStyle w:val="TableofFigures"/>
        <w:rPr>
          <w:rFonts w:eastAsiaTheme="minorEastAsia" w:cstheme="minorBidi"/>
        </w:rPr>
      </w:pPr>
      <w:hyperlink w:anchor="_Toc54021145" w:history="1">
        <w:r w:rsidR="00352A14" w:rsidRPr="00A90A29">
          <w:rPr>
            <w:rStyle w:val="Hyperlink"/>
          </w:rPr>
          <w:t>Appendix 3</w:t>
        </w:r>
        <w:r w:rsidR="00352A14">
          <w:rPr>
            <w:rFonts w:eastAsiaTheme="minorEastAsia" w:cstheme="minorBidi"/>
          </w:rPr>
          <w:tab/>
        </w:r>
        <w:r w:rsidR="00352A14" w:rsidRPr="00A90A29">
          <w:rPr>
            <w:rStyle w:val="Hyperlink"/>
          </w:rPr>
          <w:t>Estimated impact of decreased private radio and television advertising (2019/20)</w:t>
        </w:r>
        <w:r w:rsidR="00352A14">
          <w:rPr>
            <w:webHidden/>
          </w:rPr>
          <w:tab/>
        </w:r>
        <w:r w:rsidR="00352A14">
          <w:rPr>
            <w:webHidden/>
          </w:rPr>
          <w:fldChar w:fldCharType="begin"/>
        </w:r>
        <w:r w:rsidR="00352A14">
          <w:rPr>
            <w:webHidden/>
          </w:rPr>
          <w:instrText xml:space="preserve"> PAGEREF _Toc54021145 \h </w:instrText>
        </w:r>
        <w:r w:rsidR="00352A14">
          <w:rPr>
            <w:webHidden/>
          </w:rPr>
        </w:r>
        <w:r w:rsidR="00352A14">
          <w:rPr>
            <w:webHidden/>
          </w:rPr>
          <w:fldChar w:fldCharType="separate"/>
        </w:r>
        <w:r>
          <w:rPr>
            <w:webHidden/>
          </w:rPr>
          <w:t>3</w:t>
        </w:r>
        <w:r w:rsidR="00352A14">
          <w:rPr>
            <w:webHidden/>
          </w:rPr>
          <w:fldChar w:fldCharType="end"/>
        </w:r>
      </w:hyperlink>
    </w:p>
    <w:p w14:paraId="029C4D43" w14:textId="4D098AC2" w:rsidR="00352A14" w:rsidRDefault="00A74C32">
      <w:pPr>
        <w:pStyle w:val="TableofFigures"/>
        <w:rPr>
          <w:rFonts w:eastAsiaTheme="minorEastAsia" w:cstheme="minorBidi"/>
        </w:rPr>
      </w:pPr>
      <w:hyperlink w:anchor="_Toc54021146" w:history="1">
        <w:r w:rsidR="00352A14" w:rsidRPr="00A90A29">
          <w:rPr>
            <w:rStyle w:val="Hyperlink"/>
          </w:rPr>
          <w:t>Appendix 4</w:t>
        </w:r>
        <w:r w:rsidR="00352A14">
          <w:rPr>
            <w:rFonts w:eastAsiaTheme="minorEastAsia" w:cstheme="minorBidi"/>
          </w:rPr>
          <w:tab/>
        </w:r>
        <w:r w:rsidR="00352A14" w:rsidRPr="00A90A29">
          <w:rPr>
            <w:rStyle w:val="Hyperlink"/>
          </w:rPr>
          <w:t>Private conventional TV expenditures on Canadian and non-Canadian programming, 1993-2019</w:t>
        </w:r>
        <w:r w:rsidR="00352A14">
          <w:rPr>
            <w:webHidden/>
          </w:rPr>
          <w:tab/>
        </w:r>
        <w:r w:rsidR="00352A14">
          <w:rPr>
            <w:webHidden/>
          </w:rPr>
          <w:fldChar w:fldCharType="begin"/>
        </w:r>
        <w:r w:rsidR="00352A14">
          <w:rPr>
            <w:webHidden/>
          </w:rPr>
          <w:instrText xml:space="preserve"> PAGEREF _Toc54021146 \h </w:instrText>
        </w:r>
        <w:r w:rsidR="00352A14">
          <w:rPr>
            <w:webHidden/>
          </w:rPr>
        </w:r>
        <w:r w:rsidR="00352A14">
          <w:rPr>
            <w:webHidden/>
          </w:rPr>
          <w:fldChar w:fldCharType="separate"/>
        </w:r>
        <w:r>
          <w:rPr>
            <w:webHidden/>
          </w:rPr>
          <w:t>4</w:t>
        </w:r>
        <w:r w:rsidR="00352A14">
          <w:rPr>
            <w:webHidden/>
          </w:rPr>
          <w:fldChar w:fldCharType="end"/>
        </w:r>
      </w:hyperlink>
    </w:p>
    <w:p w14:paraId="414CA1FC" w14:textId="32D18789" w:rsidR="00352A14" w:rsidRDefault="00A74C32">
      <w:pPr>
        <w:pStyle w:val="TableofFigures"/>
        <w:rPr>
          <w:rFonts w:eastAsiaTheme="minorEastAsia" w:cstheme="minorBidi"/>
        </w:rPr>
      </w:pPr>
      <w:hyperlink w:anchor="_Toc54021147" w:history="1">
        <w:r w:rsidR="00352A14" w:rsidRPr="00A90A29">
          <w:rPr>
            <w:rStyle w:val="Hyperlink"/>
          </w:rPr>
          <w:t>Appendix 5</w:t>
        </w:r>
        <w:r w:rsidR="00352A14">
          <w:rPr>
            <w:rFonts w:eastAsiaTheme="minorEastAsia" w:cstheme="minorBidi"/>
          </w:rPr>
          <w:tab/>
        </w:r>
        <w:r w:rsidR="00352A14" w:rsidRPr="00A90A29">
          <w:rPr>
            <w:rStyle w:val="Hyperlink"/>
          </w:rPr>
          <w:t>Employment in Canada’s regulated broadcast sector, 2000-2019</w:t>
        </w:r>
        <w:r w:rsidR="00352A14">
          <w:rPr>
            <w:webHidden/>
          </w:rPr>
          <w:tab/>
        </w:r>
        <w:r w:rsidR="00352A14">
          <w:rPr>
            <w:webHidden/>
          </w:rPr>
          <w:fldChar w:fldCharType="begin"/>
        </w:r>
        <w:r w:rsidR="00352A14">
          <w:rPr>
            <w:webHidden/>
          </w:rPr>
          <w:instrText xml:space="preserve"> PAGEREF _Toc54021147 \h </w:instrText>
        </w:r>
        <w:r w:rsidR="00352A14">
          <w:rPr>
            <w:webHidden/>
          </w:rPr>
        </w:r>
        <w:r w:rsidR="00352A14">
          <w:rPr>
            <w:webHidden/>
          </w:rPr>
          <w:fldChar w:fldCharType="separate"/>
        </w:r>
        <w:r>
          <w:rPr>
            <w:webHidden/>
          </w:rPr>
          <w:t>5</w:t>
        </w:r>
        <w:r w:rsidR="00352A14">
          <w:rPr>
            <w:webHidden/>
          </w:rPr>
          <w:fldChar w:fldCharType="end"/>
        </w:r>
      </w:hyperlink>
    </w:p>
    <w:p w14:paraId="33EF258E" w14:textId="37AB09F2" w:rsidR="00352A14" w:rsidRDefault="00A74C32">
      <w:pPr>
        <w:pStyle w:val="TableofFigures"/>
        <w:rPr>
          <w:rFonts w:eastAsiaTheme="minorEastAsia" w:cstheme="minorBidi"/>
        </w:rPr>
      </w:pPr>
      <w:hyperlink w:anchor="_Toc54021148" w:history="1">
        <w:r w:rsidR="00352A14" w:rsidRPr="00A90A29">
          <w:rPr>
            <w:rStyle w:val="Hyperlink"/>
          </w:rPr>
          <w:t>Appendix 6</w:t>
        </w:r>
        <w:r w:rsidR="00352A14">
          <w:rPr>
            <w:rFonts w:eastAsiaTheme="minorEastAsia" w:cstheme="minorBidi"/>
          </w:rPr>
          <w:tab/>
        </w:r>
        <w:r w:rsidR="00352A14" w:rsidRPr="00A90A29">
          <w:rPr>
            <w:rStyle w:val="Hyperlink"/>
          </w:rPr>
          <w:t>CRTC regulatory flexibility and private conventional TV revenues, 1968-2019</w:t>
        </w:r>
        <w:r w:rsidR="00352A14">
          <w:rPr>
            <w:webHidden/>
          </w:rPr>
          <w:tab/>
        </w:r>
        <w:r w:rsidR="00352A14">
          <w:rPr>
            <w:webHidden/>
          </w:rPr>
          <w:fldChar w:fldCharType="begin"/>
        </w:r>
        <w:r w:rsidR="00352A14">
          <w:rPr>
            <w:webHidden/>
          </w:rPr>
          <w:instrText xml:space="preserve"> PAGEREF _Toc54021148 \h </w:instrText>
        </w:r>
        <w:r w:rsidR="00352A14">
          <w:rPr>
            <w:webHidden/>
          </w:rPr>
        </w:r>
        <w:r w:rsidR="00352A14">
          <w:rPr>
            <w:webHidden/>
          </w:rPr>
          <w:fldChar w:fldCharType="separate"/>
        </w:r>
        <w:r>
          <w:rPr>
            <w:webHidden/>
          </w:rPr>
          <w:t>6</w:t>
        </w:r>
        <w:r w:rsidR="00352A14">
          <w:rPr>
            <w:webHidden/>
          </w:rPr>
          <w:fldChar w:fldCharType="end"/>
        </w:r>
      </w:hyperlink>
    </w:p>
    <w:p w14:paraId="78807D5E" w14:textId="791E8DB2" w:rsidR="00352A14" w:rsidRDefault="00A74C32">
      <w:pPr>
        <w:pStyle w:val="TableofFigures"/>
        <w:rPr>
          <w:rFonts w:eastAsiaTheme="minorEastAsia" w:cstheme="minorBidi"/>
        </w:rPr>
      </w:pPr>
      <w:hyperlink w:anchor="_Toc54021149" w:history="1">
        <w:r w:rsidR="00352A14" w:rsidRPr="00A90A29">
          <w:rPr>
            <w:rStyle w:val="Hyperlink"/>
          </w:rPr>
          <w:t>Appendix 7</w:t>
        </w:r>
        <w:r w:rsidR="00352A14">
          <w:rPr>
            <w:rFonts w:eastAsiaTheme="minorEastAsia" w:cstheme="minorBidi"/>
          </w:rPr>
          <w:tab/>
        </w:r>
        <w:r w:rsidR="00352A14" w:rsidRPr="00A90A29">
          <w:rPr>
            <w:rStyle w:val="Hyperlink"/>
          </w:rPr>
          <w:t>CAB website</w:t>
        </w:r>
        <w:r w:rsidR="00352A14">
          <w:rPr>
            <w:webHidden/>
          </w:rPr>
          <w:tab/>
        </w:r>
        <w:r w:rsidR="00352A14">
          <w:rPr>
            <w:webHidden/>
          </w:rPr>
          <w:fldChar w:fldCharType="begin"/>
        </w:r>
        <w:r w:rsidR="00352A14">
          <w:rPr>
            <w:webHidden/>
          </w:rPr>
          <w:instrText xml:space="preserve"> PAGEREF _Toc54021149 \h </w:instrText>
        </w:r>
        <w:r w:rsidR="00352A14">
          <w:rPr>
            <w:webHidden/>
          </w:rPr>
        </w:r>
        <w:r w:rsidR="00352A14">
          <w:rPr>
            <w:webHidden/>
          </w:rPr>
          <w:fldChar w:fldCharType="separate"/>
        </w:r>
        <w:r>
          <w:rPr>
            <w:webHidden/>
          </w:rPr>
          <w:t>7</w:t>
        </w:r>
        <w:r w:rsidR="00352A14">
          <w:rPr>
            <w:webHidden/>
          </w:rPr>
          <w:fldChar w:fldCharType="end"/>
        </w:r>
      </w:hyperlink>
    </w:p>
    <w:p w14:paraId="7456759B" w14:textId="33F66143" w:rsidR="00352A14" w:rsidRDefault="00A74C32">
      <w:pPr>
        <w:pStyle w:val="TableofFigures"/>
        <w:rPr>
          <w:rFonts w:eastAsiaTheme="minorEastAsia" w:cstheme="minorBidi"/>
        </w:rPr>
      </w:pPr>
      <w:hyperlink w:anchor="_Toc54021150" w:history="1">
        <w:r w:rsidR="00352A14" w:rsidRPr="00A90A29">
          <w:rPr>
            <w:rStyle w:val="Hyperlink"/>
          </w:rPr>
          <w:t>Appendix 8</w:t>
        </w:r>
        <w:r w:rsidR="00352A14">
          <w:rPr>
            <w:rFonts w:eastAsiaTheme="minorEastAsia" w:cstheme="minorBidi"/>
          </w:rPr>
          <w:tab/>
        </w:r>
        <w:r w:rsidR="00352A14" w:rsidRPr="00A90A29">
          <w:rPr>
            <w:rStyle w:val="Hyperlink"/>
          </w:rPr>
          <w:t>Private radio and television ownership groups, 2018</w:t>
        </w:r>
        <w:r w:rsidR="00352A14">
          <w:rPr>
            <w:webHidden/>
          </w:rPr>
          <w:tab/>
        </w:r>
        <w:r w:rsidR="00352A14">
          <w:rPr>
            <w:webHidden/>
          </w:rPr>
          <w:fldChar w:fldCharType="begin"/>
        </w:r>
        <w:r w:rsidR="00352A14">
          <w:rPr>
            <w:webHidden/>
          </w:rPr>
          <w:instrText xml:space="preserve"> PAGEREF _Toc54021150 \h </w:instrText>
        </w:r>
        <w:r w:rsidR="00352A14">
          <w:rPr>
            <w:webHidden/>
          </w:rPr>
        </w:r>
        <w:r w:rsidR="00352A14">
          <w:rPr>
            <w:webHidden/>
          </w:rPr>
          <w:fldChar w:fldCharType="separate"/>
        </w:r>
        <w:r>
          <w:rPr>
            <w:webHidden/>
          </w:rPr>
          <w:t>8</w:t>
        </w:r>
        <w:r w:rsidR="00352A14">
          <w:rPr>
            <w:webHidden/>
          </w:rPr>
          <w:fldChar w:fldCharType="end"/>
        </w:r>
      </w:hyperlink>
    </w:p>
    <w:p w14:paraId="33EAC241" w14:textId="674EEA45" w:rsidR="00352A14" w:rsidRDefault="00A74C32">
      <w:pPr>
        <w:pStyle w:val="TableofFigures"/>
        <w:rPr>
          <w:rFonts w:eastAsiaTheme="minorEastAsia" w:cstheme="minorBidi"/>
        </w:rPr>
      </w:pPr>
      <w:hyperlink w:anchor="_Toc54021151" w:history="1">
        <w:r w:rsidR="00352A14" w:rsidRPr="00A90A29">
          <w:rPr>
            <w:rStyle w:val="Hyperlink"/>
          </w:rPr>
          <w:t>Appendix 9</w:t>
        </w:r>
        <w:r w:rsidR="00352A14">
          <w:rPr>
            <w:rFonts w:eastAsiaTheme="minorEastAsia" w:cstheme="minorBidi"/>
          </w:rPr>
          <w:tab/>
        </w:r>
        <w:r w:rsidR="00352A14" w:rsidRPr="00A90A29">
          <w:rPr>
            <w:rStyle w:val="Hyperlink"/>
          </w:rPr>
          <w:t>CCD and CPE expenditures</w:t>
        </w:r>
        <w:r w:rsidR="00352A14">
          <w:rPr>
            <w:webHidden/>
          </w:rPr>
          <w:tab/>
        </w:r>
        <w:r w:rsidR="00352A14">
          <w:rPr>
            <w:webHidden/>
          </w:rPr>
          <w:fldChar w:fldCharType="begin"/>
        </w:r>
        <w:r w:rsidR="00352A14">
          <w:rPr>
            <w:webHidden/>
          </w:rPr>
          <w:instrText xml:space="preserve"> PAGEREF _Toc54021151 \h </w:instrText>
        </w:r>
        <w:r w:rsidR="00352A14">
          <w:rPr>
            <w:webHidden/>
          </w:rPr>
        </w:r>
        <w:r w:rsidR="00352A14">
          <w:rPr>
            <w:webHidden/>
          </w:rPr>
          <w:fldChar w:fldCharType="separate"/>
        </w:r>
        <w:r>
          <w:rPr>
            <w:webHidden/>
          </w:rPr>
          <w:t>9</w:t>
        </w:r>
        <w:r w:rsidR="00352A14">
          <w:rPr>
            <w:webHidden/>
          </w:rPr>
          <w:fldChar w:fldCharType="end"/>
        </w:r>
      </w:hyperlink>
    </w:p>
    <w:p w14:paraId="502B16B2" w14:textId="5F365D9B" w:rsidR="00352A14" w:rsidRDefault="00A74C32">
      <w:pPr>
        <w:pStyle w:val="TableofFigures"/>
        <w:rPr>
          <w:rFonts w:eastAsiaTheme="minorEastAsia" w:cstheme="minorBidi"/>
        </w:rPr>
      </w:pPr>
      <w:hyperlink w:anchor="_Toc54021152" w:history="1">
        <w:r w:rsidR="00352A14" w:rsidRPr="00A90A29">
          <w:rPr>
            <w:rStyle w:val="Hyperlink"/>
          </w:rPr>
          <w:t>Appendix 10</w:t>
        </w:r>
        <w:r w:rsidR="00352A14">
          <w:rPr>
            <w:rFonts w:eastAsiaTheme="minorEastAsia" w:cstheme="minorBidi"/>
          </w:rPr>
          <w:tab/>
        </w:r>
        <w:r w:rsidR="00352A14" w:rsidRPr="00A90A29">
          <w:rPr>
            <w:rStyle w:val="Hyperlink"/>
          </w:rPr>
          <w:t>Tables and figures in the CRTC’s Communications Monitoring Reports, 2008-2019</w:t>
        </w:r>
        <w:r w:rsidR="00352A14">
          <w:rPr>
            <w:webHidden/>
          </w:rPr>
          <w:tab/>
        </w:r>
        <w:r w:rsidR="00352A14">
          <w:rPr>
            <w:webHidden/>
          </w:rPr>
          <w:fldChar w:fldCharType="begin"/>
        </w:r>
        <w:r w:rsidR="00352A14">
          <w:rPr>
            <w:webHidden/>
          </w:rPr>
          <w:instrText xml:space="preserve"> PAGEREF _Toc54021152 \h </w:instrText>
        </w:r>
        <w:r w:rsidR="00352A14">
          <w:rPr>
            <w:webHidden/>
          </w:rPr>
        </w:r>
        <w:r w:rsidR="00352A14">
          <w:rPr>
            <w:webHidden/>
          </w:rPr>
          <w:fldChar w:fldCharType="separate"/>
        </w:r>
        <w:r>
          <w:rPr>
            <w:webHidden/>
          </w:rPr>
          <w:t>10</w:t>
        </w:r>
        <w:r w:rsidR="00352A14">
          <w:rPr>
            <w:webHidden/>
          </w:rPr>
          <w:fldChar w:fldCharType="end"/>
        </w:r>
      </w:hyperlink>
    </w:p>
    <w:p w14:paraId="201297C3" w14:textId="1E8E3227" w:rsidR="00352A14" w:rsidRDefault="00A74C32">
      <w:pPr>
        <w:pStyle w:val="TableofFigures"/>
        <w:rPr>
          <w:rFonts w:eastAsiaTheme="minorEastAsia" w:cstheme="minorBidi"/>
        </w:rPr>
      </w:pPr>
      <w:hyperlink w:anchor="_Toc54021153" w:history="1">
        <w:r w:rsidR="00352A14" w:rsidRPr="00A90A29">
          <w:rPr>
            <w:rStyle w:val="Hyperlink"/>
          </w:rPr>
          <w:t>Appendix 11</w:t>
        </w:r>
        <w:r w:rsidR="00352A14">
          <w:rPr>
            <w:rFonts w:eastAsiaTheme="minorEastAsia" w:cstheme="minorBidi"/>
          </w:rPr>
          <w:tab/>
        </w:r>
        <w:r w:rsidR="00352A14" w:rsidRPr="00A90A29">
          <w:rPr>
            <w:rStyle w:val="Hyperlink"/>
          </w:rPr>
          <w:t>FRPC’s answers to the CRTC’s questions</w:t>
        </w:r>
        <w:r w:rsidR="00352A14">
          <w:rPr>
            <w:webHidden/>
          </w:rPr>
          <w:tab/>
        </w:r>
        <w:r w:rsidR="00352A14">
          <w:rPr>
            <w:webHidden/>
          </w:rPr>
          <w:fldChar w:fldCharType="begin"/>
        </w:r>
        <w:r w:rsidR="00352A14">
          <w:rPr>
            <w:webHidden/>
          </w:rPr>
          <w:instrText xml:space="preserve"> PAGEREF _Toc54021153 \h </w:instrText>
        </w:r>
        <w:r w:rsidR="00352A14">
          <w:rPr>
            <w:webHidden/>
          </w:rPr>
        </w:r>
        <w:r w:rsidR="00352A14">
          <w:rPr>
            <w:webHidden/>
          </w:rPr>
          <w:fldChar w:fldCharType="separate"/>
        </w:r>
        <w:r>
          <w:rPr>
            <w:webHidden/>
          </w:rPr>
          <w:t>22</w:t>
        </w:r>
        <w:r w:rsidR="00352A14">
          <w:rPr>
            <w:webHidden/>
          </w:rPr>
          <w:fldChar w:fldCharType="end"/>
        </w:r>
      </w:hyperlink>
    </w:p>
    <w:p w14:paraId="2A47FFD1" w14:textId="0454D94D" w:rsidR="005E395B" w:rsidRDefault="000C0055" w:rsidP="00574FBB">
      <w:pPr>
        <w:rPr>
          <w:rFonts w:ascii="Calibri" w:hAnsi="Calibri" w:cs="Calibri"/>
        </w:rPr>
      </w:pPr>
      <w:r>
        <w:rPr>
          <w:rFonts w:ascii="Calibri" w:hAnsi="Calibri" w:cs="Calibri"/>
        </w:rPr>
        <w:fldChar w:fldCharType="end"/>
      </w:r>
    </w:p>
    <w:p w14:paraId="20120D07" w14:textId="77777777" w:rsidR="005E395B" w:rsidRPr="005E395B" w:rsidRDefault="005E395B" w:rsidP="00574FBB">
      <w:pPr>
        <w:rPr>
          <w:rFonts w:ascii="Calibri" w:hAnsi="Calibri" w:cs="Calibri"/>
        </w:rPr>
      </w:pPr>
    </w:p>
    <w:p w14:paraId="35E8B377" w14:textId="77777777" w:rsidR="000E4CC3" w:rsidRDefault="000E4CC3">
      <w:pPr>
        <w:rPr>
          <w:rFonts w:ascii="Calibri" w:hAnsi="Calibri" w:cs="Calibri"/>
          <w:b/>
          <w:bCs/>
        </w:rPr>
      </w:pPr>
      <w:r>
        <w:rPr>
          <w:rFonts w:ascii="Calibri" w:hAnsi="Calibri" w:cs="Calibri"/>
          <w:b/>
          <w:bCs/>
        </w:rPr>
        <w:br w:type="page"/>
      </w:r>
    </w:p>
    <w:p w14:paraId="21A8DA2C" w14:textId="77777777" w:rsidR="00B0488C" w:rsidRDefault="00B0488C" w:rsidP="00574FBB">
      <w:pPr>
        <w:rPr>
          <w:rFonts w:ascii="Calibri" w:hAnsi="Calibri" w:cs="Calibri"/>
          <w:b/>
          <w:bCs/>
        </w:rPr>
        <w:sectPr w:rsidR="00B0488C" w:rsidSect="00A25EE6">
          <w:headerReference w:type="default" r:id="rId12"/>
          <w:pgSz w:w="12240" w:h="15840"/>
          <w:pgMar w:top="1440" w:right="1440" w:bottom="1440" w:left="1440" w:header="708" w:footer="708" w:gutter="0"/>
          <w:cols w:space="708"/>
          <w:docGrid w:linePitch="360"/>
        </w:sectPr>
      </w:pPr>
    </w:p>
    <w:p w14:paraId="150F501F" w14:textId="557FC4AC" w:rsidR="00A25EE6" w:rsidRPr="00141590" w:rsidRDefault="00BF5464" w:rsidP="00574FBB">
      <w:pPr>
        <w:rPr>
          <w:rFonts w:ascii="Calibri" w:hAnsi="Calibri" w:cs="Calibri"/>
          <w:b/>
          <w:bCs/>
        </w:rPr>
      </w:pPr>
      <w:r w:rsidRPr="00141590">
        <w:rPr>
          <w:rFonts w:ascii="Calibri" w:hAnsi="Calibri" w:cs="Calibri"/>
          <w:b/>
          <w:bCs/>
        </w:rPr>
        <w:lastRenderedPageBreak/>
        <w:t>Acronyms</w:t>
      </w:r>
    </w:p>
    <w:p w14:paraId="0781666B" w14:textId="77777777" w:rsidR="00BF5464" w:rsidRPr="00141590" w:rsidRDefault="00BF5464" w:rsidP="00574FBB">
      <w:pPr>
        <w:rPr>
          <w:rFonts w:ascii="Calibri" w:hAnsi="Calibri" w:cs="Calibri"/>
        </w:rPr>
      </w:pPr>
    </w:p>
    <w:p w14:paraId="0A42D058" w14:textId="77777777" w:rsidR="00227454" w:rsidRPr="00141590" w:rsidRDefault="00227454" w:rsidP="00BF5464">
      <w:pPr>
        <w:tabs>
          <w:tab w:val="left" w:pos="1440"/>
        </w:tabs>
        <w:ind w:left="1440" w:hanging="1440"/>
        <w:rPr>
          <w:rFonts w:ascii="Calibri" w:hAnsi="Calibri" w:cs="Calibri"/>
        </w:rPr>
      </w:pPr>
      <w:r w:rsidRPr="00141590">
        <w:rPr>
          <w:rFonts w:ascii="Calibri" w:hAnsi="Calibri" w:cs="Calibri"/>
        </w:rPr>
        <w:t>BDU</w:t>
      </w:r>
      <w:r w:rsidRPr="00141590">
        <w:rPr>
          <w:rFonts w:ascii="Calibri" w:hAnsi="Calibri" w:cs="Calibri"/>
        </w:rPr>
        <w:tab/>
        <w:t>Broadcasting Distribution Undertaking</w:t>
      </w:r>
    </w:p>
    <w:p w14:paraId="403F7FA8" w14:textId="77777777" w:rsidR="00227454" w:rsidRPr="00141590" w:rsidRDefault="00227454" w:rsidP="00BF5464">
      <w:pPr>
        <w:tabs>
          <w:tab w:val="left" w:pos="1440"/>
        </w:tabs>
        <w:ind w:left="1440" w:hanging="1440"/>
        <w:rPr>
          <w:rFonts w:ascii="Calibri" w:hAnsi="Calibri" w:cs="Calibri"/>
        </w:rPr>
      </w:pPr>
    </w:p>
    <w:p w14:paraId="559CB27B" w14:textId="30539304" w:rsidR="00995AA5" w:rsidRDefault="00995AA5" w:rsidP="00BF5464">
      <w:pPr>
        <w:tabs>
          <w:tab w:val="left" w:pos="1440"/>
        </w:tabs>
        <w:ind w:left="1440" w:hanging="1440"/>
        <w:rPr>
          <w:rFonts w:ascii="Calibri" w:hAnsi="Calibri" w:cs="Calibri"/>
        </w:rPr>
      </w:pPr>
      <w:r>
        <w:rPr>
          <w:rFonts w:ascii="Calibri" w:hAnsi="Calibri" w:cs="Calibri"/>
        </w:rPr>
        <w:t>CAB</w:t>
      </w:r>
      <w:r>
        <w:rPr>
          <w:rFonts w:ascii="Calibri" w:hAnsi="Calibri" w:cs="Calibri"/>
        </w:rPr>
        <w:tab/>
        <w:t xml:space="preserve">Canadian Association of Broadcasters </w:t>
      </w:r>
    </w:p>
    <w:p w14:paraId="53AAA1CB" w14:textId="627F7E58" w:rsidR="00995AA5" w:rsidRDefault="00995AA5" w:rsidP="00BF5464">
      <w:pPr>
        <w:tabs>
          <w:tab w:val="left" w:pos="1440"/>
        </w:tabs>
        <w:ind w:left="1440" w:hanging="1440"/>
        <w:rPr>
          <w:rFonts w:ascii="Calibri" w:hAnsi="Calibri" w:cs="Calibri"/>
        </w:rPr>
      </w:pPr>
    </w:p>
    <w:p w14:paraId="501ED73A" w14:textId="76CBD8E0" w:rsidR="008B1D19" w:rsidRDefault="008B1D19" w:rsidP="00BF5464">
      <w:pPr>
        <w:tabs>
          <w:tab w:val="left" w:pos="1440"/>
        </w:tabs>
        <w:ind w:left="1440" w:hanging="1440"/>
        <w:rPr>
          <w:rFonts w:ascii="Calibri" w:hAnsi="Calibri" w:cs="Calibri"/>
        </w:rPr>
      </w:pPr>
      <w:r>
        <w:rPr>
          <w:rFonts w:ascii="Calibri" w:hAnsi="Calibri" w:cs="Calibri"/>
        </w:rPr>
        <w:t>CBSC</w:t>
      </w:r>
      <w:r>
        <w:rPr>
          <w:rFonts w:ascii="Calibri" w:hAnsi="Calibri" w:cs="Calibri"/>
        </w:rPr>
        <w:tab/>
        <w:t>Canadian Broadcast Standards Council</w:t>
      </w:r>
    </w:p>
    <w:p w14:paraId="391D7C94" w14:textId="77777777" w:rsidR="008B1D19" w:rsidRDefault="008B1D19" w:rsidP="00BF5464">
      <w:pPr>
        <w:tabs>
          <w:tab w:val="left" w:pos="1440"/>
        </w:tabs>
        <w:ind w:left="1440" w:hanging="1440"/>
        <w:rPr>
          <w:rFonts w:ascii="Calibri" w:hAnsi="Calibri" w:cs="Calibri"/>
        </w:rPr>
      </w:pPr>
    </w:p>
    <w:p w14:paraId="737A274A" w14:textId="14EEE293" w:rsidR="00BF5464" w:rsidRPr="00141590" w:rsidRDefault="00BF5464" w:rsidP="00BF5464">
      <w:pPr>
        <w:tabs>
          <w:tab w:val="left" w:pos="1440"/>
        </w:tabs>
        <w:ind w:left="1440" w:hanging="1440"/>
        <w:rPr>
          <w:rFonts w:ascii="Calibri" w:hAnsi="Calibri" w:cs="Calibri"/>
        </w:rPr>
      </w:pPr>
      <w:r w:rsidRPr="00141590">
        <w:rPr>
          <w:rFonts w:ascii="Calibri" w:hAnsi="Calibri" w:cs="Calibri"/>
        </w:rPr>
        <w:t>CRTC</w:t>
      </w:r>
      <w:r w:rsidRPr="00141590">
        <w:rPr>
          <w:rFonts w:ascii="Calibri" w:hAnsi="Calibri" w:cs="Calibri"/>
        </w:rPr>
        <w:tab/>
        <w:t>Canadian Radio-Television Commission (to 1975)</w:t>
      </w:r>
      <w:r w:rsidR="00550BB7">
        <w:rPr>
          <w:rFonts w:ascii="Calibri" w:hAnsi="Calibri" w:cs="Calibri"/>
        </w:rPr>
        <w:t xml:space="preserve">; </w:t>
      </w:r>
      <w:r w:rsidRPr="00141590">
        <w:rPr>
          <w:rFonts w:ascii="Calibri" w:hAnsi="Calibri" w:cs="Calibri"/>
        </w:rPr>
        <w:t>Canadian Radio-television and Telecommunications Commission (since 1976)</w:t>
      </w:r>
    </w:p>
    <w:p w14:paraId="3042478E" w14:textId="77777777" w:rsidR="00BF5464" w:rsidRPr="00141590" w:rsidRDefault="00BF5464" w:rsidP="00BF5464">
      <w:pPr>
        <w:tabs>
          <w:tab w:val="left" w:pos="1440"/>
        </w:tabs>
        <w:ind w:left="1440" w:hanging="1440"/>
        <w:rPr>
          <w:rFonts w:ascii="Calibri" w:hAnsi="Calibri" w:cs="Calibri"/>
        </w:rPr>
      </w:pPr>
    </w:p>
    <w:p w14:paraId="2BFE9D79" w14:textId="2EC472FD" w:rsidR="00550BB7" w:rsidRDefault="00550BB7" w:rsidP="00BF5464">
      <w:pPr>
        <w:tabs>
          <w:tab w:val="left" w:pos="1440"/>
        </w:tabs>
        <w:ind w:left="1440" w:hanging="1440"/>
        <w:rPr>
          <w:rFonts w:ascii="Calibri" w:hAnsi="Calibri" w:cs="Calibri"/>
        </w:rPr>
      </w:pPr>
      <w:r>
        <w:rPr>
          <w:rFonts w:ascii="Calibri" w:hAnsi="Calibri" w:cs="Calibri"/>
        </w:rPr>
        <w:t>FRPC</w:t>
      </w:r>
      <w:r>
        <w:rPr>
          <w:rFonts w:ascii="Calibri" w:hAnsi="Calibri" w:cs="Calibri"/>
        </w:rPr>
        <w:tab/>
        <w:t xml:space="preserve">Forum for Research and Policy in Communications (FRPC) </w:t>
      </w:r>
    </w:p>
    <w:p w14:paraId="417C231C" w14:textId="525BC2C9" w:rsidR="00C737C5" w:rsidRDefault="00C737C5" w:rsidP="00BF5464">
      <w:pPr>
        <w:tabs>
          <w:tab w:val="left" w:pos="1440"/>
        </w:tabs>
        <w:ind w:left="1440" w:hanging="1440"/>
        <w:rPr>
          <w:rFonts w:ascii="Calibri" w:hAnsi="Calibri" w:cs="Calibri"/>
        </w:rPr>
      </w:pPr>
    </w:p>
    <w:p w14:paraId="254C7C27" w14:textId="07D525B0" w:rsidR="00C737C5" w:rsidRDefault="00C737C5" w:rsidP="00BF5464">
      <w:pPr>
        <w:tabs>
          <w:tab w:val="left" w:pos="1440"/>
        </w:tabs>
        <w:ind w:left="1440" w:hanging="1440"/>
        <w:rPr>
          <w:rFonts w:ascii="Calibri" w:hAnsi="Calibri" w:cs="Calibri"/>
        </w:rPr>
      </w:pPr>
      <w:r>
        <w:rPr>
          <w:rFonts w:ascii="Calibri" w:hAnsi="Calibri" w:cs="Calibri"/>
        </w:rPr>
        <w:t>LMA</w:t>
      </w:r>
      <w:r>
        <w:rPr>
          <w:rFonts w:ascii="Calibri" w:hAnsi="Calibri" w:cs="Calibri"/>
        </w:rPr>
        <w:tab/>
        <w:t>Local Management (or sales) Agreement</w:t>
      </w:r>
    </w:p>
    <w:p w14:paraId="4350EBD5" w14:textId="12742CC3" w:rsidR="0027060F" w:rsidRDefault="0027060F" w:rsidP="00BF5464">
      <w:pPr>
        <w:tabs>
          <w:tab w:val="left" w:pos="1440"/>
        </w:tabs>
        <w:ind w:left="1440" w:hanging="1440"/>
        <w:rPr>
          <w:rFonts w:ascii="Calibri" w:hAnsi="Calibri" w:cs="Calibri"/>
        </w:rPr>
      </w:pPr>
    </w:p>
    <w:p w14:paraId="0DE5FB47" w14:textId="3B39AE21" w:rsidR="0027060F" w:rsidRDefault="0027060F" w:rsidP="00BF5464">
      <w:pPr>
        <w:tabs>
          <w:tab w:val="left" w:pos="1440"/>
        </w:tabs>
        <w:ind w:left="1440" w:hanging="1440"/>
        <w:rPr>
          <w:rFonts w:ascii="Calibri" w:hAnsi="Calibri" w:cs="Calibri"/>
        </w:rPr>
      </w:pPr>
      <w:r>
        <w:rPr>
          <w:rFonts w:ascii="Calibri" w:hAnsi="Calibri" w:cs="Calibri"/>
        </w:rPr>
        <w:t>OLMC</w:t>
      </w:r>
      <w:r>
        <w:rPr>
          <w:rFonts w:ascii="Calibri" w:hAnsi="Calibri" w:cs="Calibri"/>
        </w:rPr>
        <w:tab/>
        <w:t>Official language minority community</w:t>
      </w:r>
    </w:p>
    <w:p w14:paraId="0880D888" w14:textId="51FF99FE" w:rsidR="00995294" w:rsidRDefault="00995294" w:rsidP="00BF5464">
      <w:pPr>
        <w:tabs>
          <w:tab w:val="left" w:pos="1440"/>
        </w:tabs>
        <w:ind w:left="1440" w:hanging="1440"/>
        <w:rPr>
          <w:rFonts w:ascii="Calibri" w:hAnsi="Calibri" w:cs="Calibri"/>
        </w:rPr>
      </w:pPr>
    </w:p>
    <w:p w14:paraId="55C39524" w14:textId="2600DD23" w:rsidR="00995294" w:rsidRDefault="00995294" w:rsidP="00BF5464">
      <w:pPr>
        <w:tabs>
          <w:tab w:val="left" w:pos="1440"/>
        </w:tabs>
        <w:ind w:left="1440" w:hanging="1440"/>
        <w:rPr>
          <w:rFonts w:ascii="Calibri" w:hAnsi="Calibri" w:cs="Calibri"/>
        </w:rPr>
      </w:pPr>
      <w:r>
        <w:rPr>
          <w:rFonts w:ascii="Calibri" w:hAnsi="Calibri" w:cs="Calibri"/>
        </w:rPr>
        <w:t>OTA</w:t>
      </w:r>
      <w:r>
        <w:rPr>
          <w:rFonts w:ascii="Calibri" w:hAnsi="Calibri" w:cs="Calibri"/>
        </w:rPr>
        <w:tab/>
        <w:t>over-the-air (</w:t>
      </w:r>
      <w:r w:rsidRPr="00995294">
        <w:rPr>
          <w:rFonts w:ascii="Calibri" w:hAnsi="Calibri" w:cs="Calibri"/>
          <w:i/>
          <w:iCs/>
        </w:rPr>
        <w:t>i.e.</w:t>
      </w:r>
      <w:r>
        <w:rPr>
          <w:rFonts w:ascii="Calibri" w:hAnsi="Calibri" w:cs="Calibri"/>
        </w:rPr>
        <w:t>, radio or television services whose broadcast signals can be obtained by radio or television sets)</w:t>
      </w:r>
    </w:p>
    <w:p w14:paraId="7D68E7C0" w14:textId="3C8FAE8E" w:rsidR="00995294" w:rsidRDefault="00995294" w:rsidP="00BF5464">
      <w:pPr>
        <w:tabs>
          <w:tab w:val="left" w:pos="1440"/>
        </w:tabs>
        <w:ind w:left="1440" w:hanging="1440"/>
        <w:rPr>
          <w:rFonts w:ascii="Calibri" w:hAnsi="Calibri" w:cs="Calibri"/>
        </w:rPr>
      </w:pPr>
    </w:p>
    <w:p w14:paraId="6F285686" w14:textId="39781059" w:rsidR="00995294" w:rsidRDefault="00995294" w:rsidP="00BF5464">
      <w:pPr>
        <w:tabs>
          <w:tab w:val="left" w:pos="1440"/>
        </w:tabs>
        <w:ind w:left="1440" w:hanging="1440"/>
        <w:rPr>
          <w:rFonts w:ascii="Calibri" w:hAnsi="Calibri" w:cs="Calibri"/>
        </w:rPr>
      </w:pPr>
      <w:r>
        <w:rPr>
          <w:rFonts w:ascii="Calibri" w:hAnsi="Calibri" w:cs="Calibri"/>
        </w:rPr>
        <w:t>TV</w:t>
      </w:r>
      <w:r>
        <w:rPr>
          <w:rFonts w:ascii="Calibri" w:hAnsi="Calibri" w:cs="Calibri"/>
        </w:rPr>
        <w:tab/>
        <w:t>Television</w:t>
      </w:r>
    </w:p>
    <w:p w14:paraId="3844E9FD" w14:textId="77777777" w:rsidR="00995294" w:rsidRPr="00141590" w:rsidRDefault="00995294" w:rsidP="00BF5464">
      <w:pPr>
        <w:tabs>
          <w:tab w:val="left" w:pos="1440"/>
        </w:tabs>
        <w:ind w:left="1440" w:hanging="1440"/>
        <w:rPr>
          <w:rFonts w:ascii="Calibri" w:hAnsi="Calibri" w:cs="Calibri"/>
        </w:rPr>
      </w:pPr>
    </w:p>
    <w:p w14:paraId="5322E02A" w14:textId="77777777" w:rsidR="00BF5464" w:rsidRPr="00141590" w:rsidRDefault="00BF5464" w:rsidP="00BF5464">
      <w:pPr>
        <w:tabs>
          <w:tab w:val="left" w:pos="1440"/>
        </w:tabs>
        <w:ind w:left="1440" w:hanging="1440"/>
        <w:rPr>
          <w:rFonts w:ascii="Calibri" w:hAnsi="Calibri" w:cs="Calibri"/>
        </w:rPr>
      </w:pPr>
    </w:p>
    <w:p w14:paraId="4B47FB9C" w14:textId="77777777" w:rsidR="00080987" w:rsidRPr="00141590" w:rsidRDefault="00080987" w:rsidP="00574FBB">
      <w:pPr>
        <w:rPr>
          <w:rFonts w:ascii="Calibri" w:hAnsi="Calibri" w:cs="Calibri"/>
        </w:rPr>
        <w:sectPr w:rsidR="00080987" w:rsidRPr="00141590" w:rsidSect="00A25EE6">
          <w:headerReference w:type="default" r:id="rId13"/>
          <w:pgSz w:w="12240" w:h="15840"/>
          <w:pgMar w:top="1440" w:right="1440" w:bottom="1440" w:left="1440" w:header="708" w:footer="708" w:gutter="0"/>
          <w:cols w:space="708"/>
          <w:docGrid w:linePitch="360"/>
        </w:sectPr>
      </w:pPr>
    </w:p>
    <w:p w14:paraId="238C7760" w14:textId="77777777" w:rsidR="00080987" w:rsidRPr="00141590" w:rsidRDefault="00080987" w:rsidP="00080987">
      <w:pPr>
        <w:pStyle w:val="Heading1"/>
        <w:numPr>
          <w:ilvl w:val="0"/>
          <w:numId w:val="0"/>
        </w:numPr>
        <w:rPr>
          <w:rFonts w:ascii="Calibri" w:hAnsi="Calibri" w:cs="Calibri"/>
        </w:rPr>
      </w:pPr>
      <w:bookmarkStart w:id="0" w:name="_Toc54021154"/>
      <w:r w:rsidRPr="00141590">
        <w:rPr>
          <w:rFonts w:ascii="Calibri" w:hAnsi="Calibri" w:cs="Calibri"/>
        </w:rPr>
        <w:lastRenderedPageBreak/>
        <w:t>Executive summary</w:t>
      </w:r>
      <w:bookmarkEnd w:id="0"/>
    </w:p>
    <w:p w14:paraId="0E211637" w14:textId="5A43873E" w:rsidR="00362FAB" w:rsidRDefault="00080987" w:rsidP="001B3C4E">
      <w:pPr>
        <w:pStyle w:val="FRPCexecSumm"/>
      </w:pPr>
      <w:r w:rsidRPr="001B3C4E">
        <w:t xml:space="preserve">This proceeding addresses </w:t>
      </w:r>
      <w:r w:rsidR="009A71B1" w:rsidRPr="001B3C4E">
        <w:t>an application by the Canadian Association of Broadcasters (CAB)</w:t>
      </w:r>
      <w:r w:rsidR="009C64B1">
        <w:t xml:space="preserve"> made</w:t>
      </w:r>
      <w:r w:rsidR="009A71B1" w:rsidRPr="001B3C4E">
        <w:t xml:space="preserve"> </w:t>
      </w:r>
      <w:r w:rsidR="009C64B1" w:rsidRPr="001B3C4E">
        <w:t>in light of the current Covid-19 pandemic</w:t>
      </w:r>
      <w:r w:rsidR="009C64B1">
        <w:t xml:space="preserve"> and </w:t>
      </w:r>
      <w:r w:rsidR="00086A25">
        <w:t xml:space="preserve">seeking </w:t>
      </w:r>
      <w:r w:rsidR="00402E43">
        <w:t>reduced regulatory oversight and regulation</w:t>
      </w:r>
      <w:r w:rsidR="00086A25">
        <w:t xml:space="preserve"> for </w:t>
      </w:r>
      <w:r w:rsidR="009A71B1" w:rsidRPr="001B3C4E">
        <w:t xml:space="preserve">private </w:t>
      </w:r>
      <w:r w:rsidR="00C06571" w:rsidRPr="001B3C4E">
        <w:t xml:space="preserve">radio and television </w:t>
      </w:r>
      <w:r w:rsidR="009A71B1" w:rsidRPr="001B3C4E">
        <w:t>broadcasters.</w:t>
      </w:r>
      <w:r w:rsidR="00D32AA9" w:rsidRPr="001B3C4E">
        <w:t xml:space="preserve"> </w:t>
      </w:r>
      <w:r w:rsidR="007B06EB">
        <w:t xml:space="preserve">The Forum for Research and Policy in Communications (FRPC) is intervening to offer support for a temporary modification of the CRTC’s </w:t>
      </w:r>
      <w:r w:rsidR="00931FF2">
        <w:t xml:space="preserve">current </w:t>
      </w:r>
      <w:r w:rsidR="007B06EB">
        <w:t>approach to broadcast regulation.</w:t>
      </w:r>
    </w:p>
    <w:p w14:paraId="565F04A2" w14:textId="2665F310" w:rsidR="006B4C42" w:rsidRDefault="006B4C42" w:rsidP="006B4C42">
      <w:pPr>
        <w:pStyle w:val="Heading2"/>
      </w:pPr>
      <w:bookmarkStart w:id="1" w:name="_Toc54021155"/>
      <w:r>
        <w:t xml:space="preserve">The regulatory relief sought by CAB:  suspension of CRTC’s supervisory role and </w:t>
      </w:r>
      <w:r w:rsidR="001C02DC">
        <w:t xml:space="preserve">approval of </w:t>
      </w:r>
      <w:r w:rsidRPr="001C02DC">
        <w:rPr>
          <w:i/>
          <w:iCs/>
        </w:rPr>
        <w:t xml:space="preserve">de </w:t>
      </w:r>
      <w:r w:rsidR="001C02DC" w:rsidRPr="001C02DC">
        <w:rPr>
          <w:i/>
          <w:iCs/>
        </w:rPr>
        <w:t>facto</w:t>
      </w:r>
      <w:r w:rsidR="001C02DC">
        <w:t xml:space="preserve"> amalgamation</w:t>
      </w:r>
      <w:bookmarkEnd w:id="1"/>
    </w:p>
    <w:p w14:paraId="753D5559" w14:textId="7F381218" w:rsidR="008B1D19" w:rsidRDefault="00931FF2" w:rsidP="00DA795E">
      <w:pPr>
        <w:pStyle w:val="FRPCexecSumm"/>
      </w:pPr>
      <w:r>
        <w:t xml:space="preserve">The </w:t>
      </w:r>
      <w:r w:rsidR="00086A25">
        <w:t xml:space="preserve">CAB </w:t>
      </w:r>
      <w:r w:rsidR="009C64B1">
        <w:t>is asking the CRTC to change it</w:t>
      </w:r>
      <w:r w:rsidR="00086A25">
        <w:t xml:space="preserve">s </w:t>
      </w:r>
      <w:r w:rsidR="00D32AA9" w:rsidRPr="001B3C4E">
        <w:t xml:space="preserve">policies </w:t>
      </w:r>
      <w:r w:rsidR="009C64B1">
        <w:t>for</w:t>
      </w:r>
      <w:r w:rsidR="00D32AA9" w:rsidRPr="001B3C4E">
        <w:t xml:space="preserve"> non-compliance</w:t>
      </w:r>
      <w:r w:rsidR="00085D67" w:rsidRPr="001B3C4E">
        <w:t xml:space="preserve"> and its </w:t>
      </w:r>
      <w:r w:rsidR="00086A25">
        <w:t xml:space="preserve">regulations </w:t>
      </w:r>
      <w:r w:rsidR="00085D67" w:rsidRPr="001B3C4E">
        <w:t>for local management/sales agreements (LMAs).  S</w:t>
      </w:r>
      <w:r w:rsidR="00D32AA9" w:rsidRPr="001B3C4E">
        <w:t>pecifically, the CAB wants the CRTC to ignore private broadcasters’ failures to meet their current regulatory obligations</w:t>
      </w:r>
      <w:r w:rsidR="00085D67" w:rsidRPr="001B3C4E">
        <w:t xml:space="preserve"> due to the Covid-19 pandemic, </w:t>
      </w:r>
      <w:r w:rsidR="00362FAB">
        <w:t>and</w:t>
      </w:r>
      <w:r w:rsidR="00AB64D1" w:rsidRPr="001B3C4E">
        <w:t xml:space="preserve"> permit </w:t>
      </w:r>
      <w:r w:rsidR="00086A25">
        <w:t>them</w:t>
      </w:r>
      <w:r w:rsidR="00085D67" w:rsidRPr="001B3C4E">
        <w:t xml:space="preserve"> to establish LMAs </w:t>
      </w:r>
      <w:r w:rsidR="00AB64D1" w:rsidRPr="001B3C4E">
        <w:t>with little or no oversight</w:t>
      </w:r>
      <w:r w:rsidR="00085D67" w:rsidRPr="001B3C4E">
        <w:t>.</w:t>
      </w:r>
      <w:r w:rsidR="00A75B50">
        <w:t xml:space="preserve">   </w:t>
      </w:r>
      <w:r w:rsidR="00D32AA9">
        <w:t>CAB</w:t>
      </w:r>
      <w:r w:rsidR="00086A25">
        <w:t xml:space="preserve"> argues that </w:t>
      </w:r>
      <w:r w:rsidR="00D32AA9">
        <w:t xml:space="preserve">without this relief </w:t>
      </w:r>
      <w:r w:rsidR="00592591">
        <w:t xml:space="preserve">private broadcasters </w:t>
      </w:r>
      <w:r w:rsidR="00D32AA9">
        <w:t xml:space="preserve">are likely to close </w:t>
      </w:r>
      <w:r w:rsidR="00A00387">
        <w:t xml:space="preserve">at least </w:t>
      </w:r>
      <w:r w:rsidR="00886F44">
        <w:t>50 of Canada’s 737 radio stations</w:t>
      </w:r>
      <w:r w:rsidR="00A00387">
        <w:t>.</w:t>
      </w:r>
    </w:p>
    <w:p w14:paraId="023B85ED" w14:textId="2D652BD7" w:rsidR="00085D67" w:rsidRDefault="008C3693" w:rsidP="001B3C4E">
      <w:pPr>
        <w:pStyle w:val="FRPCexecSumm"/>
      </w:pPr>
      <w:r>
        <w:t>Five</w:t>
      </w:r>
      <w:r w:rsidR="00085D67">
        <w:t xml:space="preserve"> aspects of CAB’s application are </w:t>
      </w:r>
      <w:r w:rsidR="00886F44">
        <w:t>noteworthy</w:t>
      </w:r>
      <w:r w:rsidR="00085D67">
        <w:t xml:space="preserve">.  </w:t>
      </w:r>
      <w:r w:rsidR="00085D67" w:rsidRPr="004D2AB3">
        <w:rPr>
          <w:b/>
          <w:bCs/>
        </w:rPr>
        <w:t>First</w:t>
      </w:r>
      <w:r w:rsidR="00085D67">
        <w:t>,</w:t>
      </w:r>
      <w:r w:rsidR="00F83DF3">
        <w:t xml:space="preserve"> </w:t>
      </w:r>
      <w:r w:rsidR="00085D67">
        <w:t xml:space="preserve">CAB essentially asks the CRTC to </w:t>
      </w:r>
      <w:r w:rsidR="00E330D1">
        <w:t>grant</w:t>
      </w:r>
      <w:r w:rsidR="00085D67">
        <w:t xml:space="preserve"> Canada’s largest broadcasters </w:t>
      </w:r>
      <w:r w:rsidR="00E330D1">
        <w:t>the same relief it grants to Canada’s</w:t>
      </w:r>
      <w:r w:rsidR="00085D67">
        <w:t xml:space="preserve"> smallest, independent broadcasters</w:t>
      </w:r>
      <w:r w:rsidR="00886F44">
        <w:t>, although the former were approved by the CRTC precisely to support weaker programming services</w:t>
      </w:r>
      <w:r w:rsidR="00DA795E">
        <w:t xml:space="preserve">; in 2017/18 </w:t>
      </w:r>
      <w:r w:rsidR="00925F1D">
        <w:t>Canada’s</w:t>
      </w:r>
      <w:r w:rsidR="00DA795E">
        <w:t xml:space="preserve"> five largest broadcasters in the radio, television and discretionary sectors controlled, respectively, 65%, 91% and 79% of those sectors’ revenues</w:t>
      </w:r>
      <w:r w:rsidR="00886F44">
        <w:t xml:space="preserve">.  </w:t>
      </w:r>
      <w:r w:rsidR="00A43241" w:rsidRPr="00A43241">
        <w:rPr>
          <w:b/>
          <w:bCs/>
        </w:rPr>
        <w:t>Second</w:t>
      </w:r>
      <w:r w:rsidR="00A43241">
        <w:t>, the CAB’s application</w:t>
      </w:r>
      <w:r w:rsidR="00272DFC">
        <w:t xml:space="preserve"> offers next to no evidence to support its application</w:t>
      </w:r>
      <w:r w:rsidR="00A43241">
        <w:t xml:space="preserve"> or to show the cumulative impact of its requests on private broadcasters’ financial positio</w:t>
      </w:r>
      <w:r w:rsidR="00A00387">
        <w:t>n</w:t>
      </w:r>
      <w:r w:rsidR="00925F1D">
        <w:t xml:space="preserve"> and ignores the possibility that ownership groups with discretionary income could allocate some of that income to support conventional programming services</w:t>
      </w:r>
      <w:r w:rsidR="00C06571">
        <w:t xml:space="preserve">. </w:t>
      </w:r>
      <w:r w:rsidR="00272DFC">
        <w:t xml:space="preserve"> </w:t>
      </w:r>
      <w:r w:rsidR="00A43241">
        <w:rPr>
          <w:b/>
          <w:bCs/>
        </w:rPr>
        <w:t>Third</w:t>
      </w:r>
      <w:r w:rsidR="00272DFC">
        <w:t>,</w:t>
      </w:r>
      <w:r w:rsidR="00C06571">
        <w:t xml:space="preserve"> in asking the CRTC to ignore its legal mandate to supervise broadcasters</w:t>
      </w:r>
      <w:r w:rsidR="001B3C4E">
        <w:t xml:space="preserve"> and the public to accept the loss of significant levels of Canadian programming expenditures and hours of exhibition, CAB has not clearly stated what C</w:t>
      </w:r>
      <w:r w:rsidR="00272DFC">
        <w:t>anadians or the CRTC will gain</w:t>
      </w:r>
      <w:r w:rsidR="00AB64D1">
        <w:t xml:space="preserve"> in return</w:t>
      </w:r>
      <w:r w:rsidR="00A00387">
        <w:t xml:space="preserve"> – such as </w:t>
      </w:r>
      <w:r w:rsidR="00272DFC">
        <w:t xml:space="preserve">clear and enforceable commitments to </w:t>
      </w:r>
      <w:r w:rsidR="00AB64D1">
        <w:t xml:space="preserve">provide </w:t>
      </w:r>
      <w:r w:rsidR="00272DFC">
        <w:t>specific weekly hours of original local news</w:t>
      </w:r>
      <w:r w:rsidR="00AB64D1">
        <w:t xml:space="preserve"> during and after the current health crisis</w:t>
      </w:r>
      <w:r w:rsidR="00A75B50">
        <w:t>; th</w:t>
      </w:r>
      <w:r w:rsidR="00AB64D1">
        <w:t>e resumption of specific levels of Canadian programming expenditure and programming of national importance</w:t>
      </w:r>
      <w:r w:rsidR="00A75B50">
        <w:t xml:space="preserve">; </w:t>
      </w:r>
      <w:r w:rsidR="00A00387">
        <w:t>and n</w:t>
      </w:r>
      <w:r w:rsidR="004D2AB3">
        <w:t>ew employment opportunitie</w:t>
      </w:r>
      <w:r w:rsidR="009C64B1">
        <w:t>s following the pandemic</w:t>
      </w:r>
      <w:r w:rsidR="00A00387">
        <w:t>.</w:t>
      </w:r>
      <w:r w:rsidR="001B3C4E">
        <w:t xml:space="preserve">  </w:t>
      </w:r>
      <w:r w:rsidR="00A43241">
        <w:rPr>
          <w:b/>
          <w:bCs/>
        </w:rPr>
        <w:t>Fourth</w:t>
      </w:r>
      <w:r w:rsidR="00A43241">
        <w:t>, it is unclear whether the CRTC has the discretion required to enable it to limit its legal mandate to regulate and supervise the broadcasting system as the CAB suggests.</w:t>
      </w:r>
    </w:p>
    <w:p w14:paraId="6787FBB2" w14:textId="6048CBDD" w:rsidR="00C55612" w:rsidRDefault="00A43241" w:rsidP="001B3C4E">
      <w:pPr>
        <w:pStyle w:val="FRPCexecSumm"/>
      </w:pPr>
      <w:r>
        <w:t xml:space="preserve">Finally, </w:t>
      </w:r>
      <w:r w:rsidR="00970282">
        <w:t xml:space="preserve">the CAB has not clearly established how Canadians will benefit from the CRTC’s approval of its application.  As it currently stands </w:t>
      </w:r>
      <w:r w:rsidR="000649A0">
        <w:t xml:space="preserve">approving </w:t>
      </w:r>
      <w:r w:rsidR="00970282">
        <w:t xml:space="preserve">the </w:t>
      </w:r>
      <w:r w:rsidR="009E11DE">
        <w:t>application</w:t>
      </w:r>
      <w:r w:rsidR="00970282">
        <w:t xml:space="preserve"> </w:t>
      </w:r>
      <w:r w:rsidR="000649A0">
        <w:t xml:space="preserve">would grant private broadcasters </w:t>
      </w:r>
      <w:r w:rsidR="009E11DE">
        <w:t>significant regulatory relief</w:t>
      </w:r>
      <w:r w:rsidR="000649A0">
        <w:t xml:space="preserve"> with few discernible benefits for Canadians:  </w:t>
      </w:r>
      <w:r w:rsidR="001B3C4E">
        <w:t>Canada’s radio and television program production sectors</w:t>
      </w:r>
      <w:r w:rsidR="009E11DE">
        <w:t xml:space="preserve"> </w:t>
      </w:r>
      <w:r w:rsidR="00925F1D">
        <w:t>would</w:t>
      </w:r>
      <w:r w:rsidR="000649A0">
        <w:t xml:space="preserve"> be </w:t>
      </w:r>
      <w:r w:rsidR="009C64B1">
        <w:t xml:space="preserve">left </w:t>
      </w:r>
      <w:r w:rsidR="001B3C4E">
        <w:t>further behind than before the pandemic began</w:t>
      </w:r>
      <w:r w:rsidR="009E11DE">
        <w:t xml:space="preserve">, Canadian communities </w:t>
      </w:r>
      <w:r w:rsidR="00925F1D">
        <w:t>would</w:t>
      </w:r>
      <w:r w:rsidR="000649A0">
        <w:t xml:space="preserve"> </w:t>
      </w:r>
      <w:r w:rsidR="009E11DE">
        <w:t xml:space="preserve">lose access to original and diverse sources of broadcast news, </w:t>
      </w:r>
      <w:r w:rsidR="00970282">
        <w:t xml:space="preserve">Canadian television </w:t>
      </w:r>
      <w:r w:rsidR="00970282">
        <w:lastRenderedPageBreak/>
        <w:t xml:space="preserve">programming </w:t>
      </w:r>
      <w:r w:rsidR="00925F1D">
        <w:t>would</w:t>
      </w:r>
      <w:r w:rsidR="000649A0">
        <w:t xml:space="preserve"> become</w:t>
      </w:r>
      <w:r w:rsidR="00970282">
        <w:t xml:space="preserve"> less accessible </w:t>
      </w:r>
      <w:r w:rsidR="009E11DE">
        <w:t xml:space="preserve">and Canadians </w:t>
      </w:r>
      <w:r w:rsidR="00925F1D">
        <w:t>would</w:t>
      </w:r>
      <w:r w:rsidR="000649A0">
        <w:t xml:space="preserve"> </w:t>
      </w:r>
      <w:r w:rsidR="009E11DE">
        <w:t xml:space="preserve">lose employment opportunities.  </w:t>
      </w:r>
      <w:r w:rsidR="00D32AA9">
        <w:t xml:space="preserve"> </w:t>
      </w:r>
      <w:r w:rsidR="00D15547">
        <w:t xml:space="preserve"> </w:t>
      </w:r>
    </w:p>
    <w:p w14:paraId="27B056FD" w14:textId="16277B90" w:rsidR="00970282" w:rsidRDefault="00970282" w:rsidP="001B3C4E">
      <w:pPr>
        <w:pStyle w:val="FRPCexecSumm"/>
      </w:pPr>
      <w:r>
        <w:t xml:space="preserve">The CRTC should </w:t>
      </w:r>
      <w:r w:rsidR="000649A0">
        <w:t xml:space="preserve">instead </w:t>
      </w:r>
      <w:r>
        <w:t xml:space="preserve">temporarily permit some of the changes sought by the CAB, in exchange for clear undertakings to return to the pre-Covid-19 position regarding regulation, compliance, and Canadian programming. </w:t>
      </w:r>
      <w:r w:rsidR="000649A0">
        <w:t xml:space="preserve"> It should deny all requests to reduce the accessibility of Canada’s broadcasting system.</w:t>
      </w:r>
      <w:r w:rsidR="00EC3526">
        <w:t xml:space="preserve"> </w:t>
      </w:r>
      <w:r w:rsidR="00925F1D">
        <w:t xml:space="preserve">The CRTC should require further information, and more information filed more frequently over the next several years, to ensure that changes made </w:t>
      </w:r>
      <w:r w:rsidR="007B06EB">
        <w:t>serve the public interest, and are reversible.</w:t>
      </w:r>
      <w:r w:rsidR="00EC3526">
        <w:t xml:space="preserve"> </w:t>
      </w:r>
    </w:p>
    <w:p w14:paraId="4095956C" w14:textId="7F9F59B1" w:rsidR="005677B5" w:rsidRDefault="005677B5" w:rsidP="006B4C42">
      <w:pPr>
        <w:pStyle w:val="Heading2"/>
      </w:pPr>
      <w:bookmarkStart w:id="2" w:name="_Toc54021156"/>
      <w:r>
        <w:t>Key first principles</w:t>
      </w:r>
      <w:bookmarkEnd w:id="2"/>
    </w:p>
    <w:p w14:paraId="1F40DD4E" w14:textId="13FBDEE7" w:rsidR="005677B5" w:rsidRPr="005677B5" w:rsidRDefault="00304F8B" w:rsidP="00304F8B">
      <w:pPr>
        <w:pStyle w:val="FRPCexecSumm"/>
      </w:pPr>
      <w:r>
        <w:t xml:space="preserve">The Forum respectfully submits that when it deals with CAB’s application the CRTC must protect </w:t>
      </w:r>
      <w:r w:rsidR="007B06EB">
        <w:t>four</w:t>
      </w:r>
      <w:r>
        <w:t xml:space="preserve"> critical principles – first principles, so to speak.  </w:t>
      </w:r>
      <w:r w:rsidRPr="000649A0">
        <w:t xml:space="preserve">The Commission’s response must protect Canadian ownership, Canadians’ access to </w:t>
      </w:r>
      <w:r w:rsidR="000649A0">
        <w:t xml:space="preserve">high-quality and </w:t>
      </w:r>
      <w:r w:rsidR="007B06EB">
        <w:t>d</w:t>
      </w:r>
      <w:r w:rsidR="000649A0">
        <w:t>iverse</w:t>
      </w:r>
      <w:r w:rsidRPr="000649A0">
        <w:t xml:space="preserve"> journalism</w:t>
      </w:r>
      <w:r w:rsidR="000649A0">
        <w:t xml:space="preserve">, </w:t>
      </w:r>
      <w:r w:rsidRPr="000649A0">
        <w:t>Canadians’ employment opportunities</w:t>
      </w:r>
      <w:r w:rsidR="000649A0">
        <w:t xml:space="preserve"> and accessibility of the broadcasting system for all Canadians.</w:t>
      </w:r>
      <w:r>
        <w:t xml:space="preserve"> </w:t>
      </w:r>
    </w:p>
    <w:p w14:paraId="7E0BBED2" w14:textId="2403CB28" w:rsidR="006B4C42" w:rsidRDefault="00135BCA" w:rsidP="006B4C42">
      <w:pPr>
        <w:pStyle w:val="Heading2"/>
      </w:pPr>
      <w:bookmarkStart w:id="3" w:name="_Toc54021157"/>
      <w:r>
        <w:t>C</w:t>
      </w:r>
      <w:r w:rsidR="006B4C42">
        <w:t>onditions for granting regulatory relief</w:t>
      </w:r>
      <w:bookmarkEnd w:id="3"/>
    </w:p>
    <w:p w14:paraId="73A6356D" w14:textId="40A2F898" w:rsidR="00551471" w:rsidRDefault="000649A0" w:rsidP="005677B5">
      <w:pPr>
        <w:pStyle w:val="ESnumbering"/>
      </w:pPr>
      <w:r>
        <w:t>T</w:t>
      </w:r>
      <w:r w:rsidR="00D32AA9">
        <w:t>he</w:t>
      </w:r>
      <w:r w:rsidR="00592591">
        <w:t xml:space="preserve"> </w:t>
      </w:r>
      <w:r w:rsidR="00080987" w:rsidRPr="00141590">
        <w:t xml:space="preserve">Forum </w:t>
      </w:r>
      <w:r w:rsidR="00592591">
        <w:t xml:space="preserve">supports the </w:t>
      </w:r>
      <w:r w:rsidR="00551471">
        <w:t>granting of regulatory ‘relief’ by the CRTC to private radio and television broadcasters</w:t>
      </w:r>
      <w:r w:rsidR="00D32AA9">
        <w:t xml:space="preserve">, with conditions related to </w:t>
      </w:r>
      <w:r w:rsidR="005325CC">
        <w:t xml:space="preserve">lawfulness, </w:t>
      </w:r>
      <w:r w:rsidR="00355EF4">
        <w:t xml:space="preserve">outcomes, </w:t>
      </w:r>
      <w:r w:rsidR="00362FAB">
        <w:t xml:space="preserve">eligibility, </w:t>
      </w:r>
      <w:r w:rsidR="00355EF4">
        <w:t xml:space="preserve">transparency, </w:t>
      </w:r>
      <w:r w:rsidR="00D15547">
        <w:t>duration</w:t>
      </w:r>
      <w:r w:rsidR="001A52A0">
        <w:t xml:space="preserve"> and</w:t>
      </w:r>
      <w:r w:rsidR="00D15547">
        <w:t xml:space="preserve"> </w:t>
      </w:r>
      <w:r w:rsidR="00592591">
        <w:t>accountability</w:t>
      </w:r>
      <w:r w:rsidR="001A52A0">
        <w:t>.</w:t>
      </w:r>
    </w:p>
    <w:p w14:paraId="29660EF3" w14:textId="2FF2B3D1" w:rsidR="005325CC" w:rsidRDefault="005325CC" w:rsidP="00672DB3">
      <w:pPr>
        <w:pStyle w:val="FRPCexecSumm"/>
        <w:numPr>
          <w:ilvl w:val="0"/>
          <w:numId w:val="6"/>
        </w:numPr>
        <w:ind w:left="1080"/>
      </w:pPr>
      <w:r>
        <w:rPr>
          <w:b/>
          <w:bCs/>
          <w:u w:val="single"/>
        </w:rPr>
        <w:t>Lawfulness</w:t>
      </w:r>
      <w:r>
        <w:t xml:space="preserve">:  it is unclear whether the CAB, in arguing that the CRTC should effectively suspend its current approaches to broadcasters’ non-compliance, has considered whether the </w:t>
      </w:r>
      <w:r w:rsidR="007C6DEE" w:rsidRPr="008175F7">
        <w:rPr>
          <w:i/>
          <w:iCs/>
        </w:rPr>
        <w:t>Broadcasting Act</w:t>
      </w:r>
      <w:r w:rsidR="007C6DEE">
        <w:t xml:space="preserve"> permits the Commission to </w:t>
      </w:r>
      <w:r w:rsidR="007A6F8C">
        <w:t xml:space="preserve">suspend or weaken its mandated supervisory role.  </w:t>
      </w:r>
      <w:r w:rsidR="007C6DEE">
        <w:t xml:space="preserve"> </w:t>
      </w:r>
    </w:p>
    <w:p w14:paraId="31534458" w14:textId="5EB2DA31" w:rsidR="00D816BD" w:rsidRDefault="00D816BD" w:rsidP="00672DB3">
      <w:pPr>
        <w:pStyle w:val="FRPCexecSumm"/>
        <w:numPr>
          <w:ilvl w:val="0"/>
          <w:numId w:val="6"/>
        </w:numPr>
        <w:ind w:left="1080"/>
      </w:pPr>
      <w:r>
        <w:rPr>
          <w:b/>
          <w:bCs/>
          <w:u w:val="single"/>
        </w:rPr>
        <w:t>Expected outcomes</w:t>
      </w:r>
      <w:r>
        <w:t xml:space="preserve">:  </w:t>
      </w:r>
      <w:r w:rsidR="004370EF">
        <w:t xml:space="preserve">If the CRTC considers that it may suspend current parts of its supervisory responsibilities it must set out the reasons for, and the benefits that Canadians will obtain from, this suspension.  Setting out these benefits – </w:t>
      </w:r>
      <w:r w:rsidR="007A6F8C">
        <w:t>in the Forum’s view</w:t>
      </w:r>
      <w:r w:rsidR="007C6DEE">
        <w:t xml:space="preserve">, </w:t>
      </w:r>
      <w:r w:rsidR="004370EF">
        <w:t xml:space="preserve">the continuation of specified levels of original local news and station employment levels – will inform Parliament about the </w:t>
      </w:r>
      <w:r w:rsidR="00F9113A">
        <w:t xml:space="preserve">actions of its administrative delegate, will </w:t>
      </w:r>
      <w:r w:rsidR="004370EF">
        <w:t xml:space="preserve">ensure that the public interest is served, and </w:t>
      </w:r>
      <w:r w:rsidR="00F9113A">
        <w:t>will enable</w:t>
      </w:r>
      <w:r w:rsidR="007C6DEE">
        <w:t xml:space="preserve"> evaluation of</w:t>
      </w:r>
      <w:r w:rsidR="00F9113A">
        <w:t xml:space="preserve"> the impact </w:t>
      </w:r>
      <w:r w:rsidR="007C6DEE">
        <w:t xml:space="preserve">of approving </w:t>
      </w:r>
      <w:r w:rsidR="00C368B3">
        <w:t xml:space="preserve">some or all of the </w:t>
      </w:r>
      <w:r w:rsidR="007C6DEE">
        <w:t xml:space="preserve">CAB’s application. </w:t>
      </w:r>
      <w:r w:rsidR="00F9113A">
        <w:t xml:space="preserve">  </w:t>
      </w:r>
    </w:p>
    <w:p w14:paraId="7D284821" w14:textId="3168C099" w:rsidR="00362FAB" w:rsidRDefault="00362FAB" w:rsidP="00672DB3">
      <w:pPr>
        <w:pStyle w:val="FRPCexecSumm"/>
        <w:numPr>
          <w:ilvl w:val="0"/>
          <w:numId w:val="6"/>
        </w:numPr>
        <w:ind w:left="1080"/>
      </w:pPr>
      <w:r w:rsidRPr="00B32CD9">
        <w:rPr>
          <w:b/>
          <w:bCs/>
          <w:u w:val="single"/>
        </w:rPr>
        <w:t>Eligibility</w:t>
      </w:r>
      <w:r>
        <w:t xml:space="preserve">: </w:t>
      </w:r>
      <w:r w:rsidR="00F9113A">
        <w:t xml:space="preserve"> if the CRTC decides to approve any or all of the CAB’s application, it must limit the application of regulatory relief to those who need it most.  T</w:t>
      </w:r>
      <w:r>
        <w:t>he CAB appears to argue that all broadcasters should be eligible to benefit from regulatory relief</w:t>
      </w:r>
      <w:r w:rsidR="00B32CD9">
        <w:t xml:space="preserve">, an argument that flies in the face of the </w:t>
      </w:r>
      <w:r w:rsidRPr="00A27A0B">
        <w:rPr>
          <w:i/>
          <w:iCs/>
        </w:rPr>
        <w:t>Broadcasting Act</w:t>
      </w:r>
      <w:r w:rsidR="00B32CD9">
        <w:t>’s emphasis on the circumstances of individual licensees</w:t>
      </w:r>
      <w:r w:rsidR="00EC3526">
        <w:rPr>
          <w:i/>
          <w:iCs/>
        </w:rPr>
        <w:t xml:space="preserve">, </w:t>
      </w:r>
      <w:r>
        <w:t>the broadcasting industry’s current</w:t>
      </w:r>
      <w:r w:rsidR="00B32CD9">
        <w:t xml:space="preserve"> highly concentrated ownership </w:t>
      </w:r>
      <w:r>
        <w:t>structure</w:t>
      </w:r>
      <w:r w:rsidR="00EC3526">
        <w:t xml:space="preserve">, the access of Canada’s largest ownership groups to revenue from discretionary programming services. </w:t>
      </w:r>
      <w:r w:rsidR="00B32CD9">
        <w:t xml:space="preserve"> </w:t>
      </w:r>
      <w:r w:rsidR="001A52A0">
        <w:t xml:space="preserve">The CRTC must instead focus any regulatory relief where it is most needed:  on independent or small broadcasters </w:t>
      </w:r>
      <w:r w:rsidR="001A52A0">
        <w:lastRenderedPageBreak/>
        <w:t xml:space="preserve">that provide </w:t>
      </w:r>
      <w:r w:rsidR="007A6F8C">
        <w:t xml:space="preserve">the CRTC with </w:t>
      </w:r>
      <w:r w:rsidR="001A52A0">
        <w:t>evidence as to their incapacity to continue to operate</w:t>
      </w:r>
      <w:r w:rsidR="007A6F8C">
        <w:t xml:space="preserve"> without the relief sought.</w:t>
      </w:r>
    </w:p>
    <w:p w14:paraId="53975348" w14:textId="7D57C0A9" w:rsidR="00551471" w:rsidRDefault="00BF6EC2" w:rsidP="00672DB3">
      <w:pPr>
        <w:pStyle w:val="FRPCexecSumm"/>
        <w:numPr>
          <w:ilvl w:val="0"/>
          <w:numId w:val="6"/>
        </w:numPr>
        <w:ind w:left="1080"/>
      </w:pPr>
      <w:r>
        <w:rPr>
          <w:b/>
          <w:bCs/>
          <w:u w:val="single"/>
        </w:rPr>
        <w:t>Full</w:t>
      </w:r>
      <w:r w:rsidR="00085D67">
        <w:rPr>
          <w:b/>
          <w:bCs/>
          <w:u w:val="single"/>
        </w:rPr>
        <w:t>, public</w:t>
      </w:r>
      <w:r>
        <w:rPr>
          <w:b/>
          <w:bCs/>
          <w:u w:val="single"/>
        </w:rPr>
        <w:t xml:space="preserve"> t</w:t>
      </w:r>
      <w:r w:rsidR="00D15547" w:rsidRPr="00D15547">
        <w:rPr>
          <w:b/>
          <w:bCs/>
          <w:u w:val="single"/>
        </w:rPr>
        <w:t>ransparency</w:t>
      </w:r>
      <w:r w:rsidR="00D15547">
        <w:t xml:space="preserve">: </w:t>
      </w:r>
      <w:r w:rsidR="00F9113A">
        <w:t xml:space="preserve"> if the CRTC decides to grant any broadcasters regulatory relief, it must require private broadcasters to provide specific information to the CRTC before, during and after the period in which relief is granted</w:t>
      </w:r>
      <w:r w:rsidR="007A6F8C">
        <w:t xml:space="preserve">.  The Forum submits that the public interest requires the Commission to </w:t>
      </w:r>
      <w:r w:rsidR="00F9113A">
        <w:t xml:space="preserve">publish that information so that Canadians may evaluate the impact of the relief granted.  </w:t>
      </w:r>
      <w:r w:rsidR="00D15547">
        <w:t xml:space="preserve">If the CRTC and Canadians lack objective information about broadcasters’   compliance with the </w:t>
      </w:r>
      <w:r w:rsidR="00D15547" w:rsidRPr="00D15547">
        <w:rPr>
          <w:i/>
          <w:iCs/>
        </w:rPr>
        <w:t xml:space="preserve">Broadcasting Act </w:t>
      </w:r>
      <w:r w:rsidR="00D15547">
        <w:t>and the CRTC’s regulations before regulatory relief is granted, it will be impossible going forward to evaluate the impact</w:t>
      </w:r>
      <w:r w:rsidR="00C900E9">
        <w:t xml:space="preserve"> </w:t>
      </w:r>
      <w:r w:rsidR="00D15547">
        <w:t xml:space="preserve">of the relief granted.   </w:t>
      </w:r>
      <w:r w:rsidR="00592591">
        <w:t xml:space="preserve"> </w:t>
      </w:r>
    </w:p>
    <w:p w14:paraId="48D1A76D" w14:textId="6294F904" w:rsidR="00D15547" w:rsidRDefault="00BF6EC2" w:rsidP="00672DB3">
      <w:pPr>
        <w:pStyle w:val="FRPCexecSumm"/>
        <w:numPr>
          <w:ilvl w:val="0"/>
          <w:numId w:val="6"/>
        </w:numPr>
        <w:ind w:left="1080"/>
      </w:pPr>
      <w:r>
        <w:rPr>
          <w:b/>
          <w:bCs/>
          <w:u w:val="single"/>
        </w:rPr>
        <w:t>Clearly limited d</w:t>
      </w:r>
      <w:r w:rsidR="00D15547" w:rsidRPr="00C900E9">
        <w:rPr>
          <w:b/>
          <w:bCs/>
          <w:u w:val="single"/>
        </w:rPr>
        <w:t>uration</w:t>
      </w:r>
      <w:r w:rsidR="00D15547">
        <w:t xml:space="preserve">:  </w:t>
      </w:r>
      <w:r w:rsidR="00F9113A">
        <w:t xml:space="preserve">If regulatory relief is granted, arguments will inevitably be made for </w:t>
      </w:r>
      <w:r w:rsidR="005325CC">
        <w:t xml:space="preserve">temporary </w:t>
      </w:r>
      <w:r w:rsidR="007A6F8C">
        <w:t xml:space="preserve">relief </w:t>
      </w:r>
      <w:r w:rsidR="005325CC">
        <w:t>measures</w:t>
      </w:r>
      <w:r w:rsidR="00F9113A">
        <w:t xml:space="preserve"> to </w:t>
      </w:r>
      <w:r w:rsidR="005325CC">
        <w:t xml:space="preserve">become permanent. </w:t>
      </w:r>
      <w:r w:rsidR="00C900E9">
        <w:t xml:space="preserve">The CRTC must clearly state that the relief granted is temporary, lasting only to the end of their current </w:t>
      </w:r>
      <w:proofErr w:type="spellStart"/>
      <w:r w:rsidR="00C900E9">
        <w:t>licence</w:t>
      </w:r>
      <w:proofErr w:type="spellEnd"/>
      <w:r w:rsidR="00C900E9">
        <w:t xml:space="preserve"> term.  Broadcasters that believe they have a case for extending such relief may, of course, always make their case to the CRTC by stating their argument based on facts.</w:t>
      </w:r>
    </w:p>
    <w:p w14:paraId="78360B01" w14:textId="4D03926C" w:rsidR="001A52A0" w:rsidRDefault="001A52A0" w:rsidP="00672DB3">
      <w:pPr>
        <w:pStyle w:val="FRPCexecSumm"/>
        <w:numPr>
          <w:ilvl w:val="0"/>
          <w:numId w:val="6"/>
        </w:numPr>
        <w:ind w:left="1080"/>
      </w:pPr>
      <w:r>
        <w:rPr>
          <w:b/>
          <w:bCs/>
          <w:u w:val="single"/>
        </w:rPr>
        <w:t>A</w:t>
      </w:r>
      <w:r w:rsidR="00BF6EC2" w:rsidRPr="001A52A0">
        <w:rPr>
          <w:b/>
          <w:bCs/>
          <w:u w:val="single"/>
        </w:rPr>
        <w:t>ctual a</w:t>
      </w:r>
      <w:r w:rsidR="00D15547" w:rsidRPr="001A52A0">
        <w:rPr>
          <w:b/>
          <w:bCs/>
          <w:u w:val="single"/>
        </w:rPr>
        <w:t>ccountability</w:t>
      </w:r>
      <w:r w:rsidR="00D15547">
        <w:t xml:space="preserve">:  </w:t>
      </w:r>
      <w:r w:rsidR="00F9113A">
        <w:t>if the CRTC grants individual broadcasters temporary relief the Commission must hold these broadcasters to account if they su</w:t>
      </w:r>
      <w:r w:rsidR="00C900E9">
        <w:t>bsequently reduce service, eliminate employment opportunities, transform stations into rebroa</w:t>
      </w:r>
      <w:r w:rsidR="00BF6EC2">
        <w:t>d</w:t>
      </w:r>
      <w:r w:rsidR="00C900E9">
        <w:t>casting undertakings</w:t>
      </w:r>
      <w:r w:rsidR="00F9113A">
        <w:t>, sell</w:t>
      </w:r>
      <w:r w:rsidR="00C900E9">
        <w:t xml:space="preserve"> and/or close stations.</w:t>
      </w:r>
    </w:p>
    <w:p w14:paraId="7110065C" w14:textId="77777777" w:rsidR="006970B0" w:rsidRDefault="001A52A0" w:rsidP="00355EF4">
      <w:pPr>
        <w:pStyle w:val="FRPCexecSumm"/>
      </w:pPr>
      <w:r>
        <w:t>Finally, the</w:t>
      </w:r>
      <w:r w:rsidR="00355EF4">
        <w:t xml:space="preserve"> Forum respectfully submits</w:t>
      </w:r>
      <w:r>
        <w:t xml:space="preserve"> CRTC must provide Canadians with </w:t>
      </w:r>
      <w:r w:rsidR="00CC0BE4">
        <w:t>the assurance that as matters progress it will consider a new approach to the issue of broadcast ownership</w:t>
      </w:r>
      <w:r w:rsidR="00AD29F0">
        <w:t xml:space="preserve"> and</w:t>
      </w:r>
      <w:r w:rsidR="00CC0BE4">
        <w:t xml:space="preserve"> prepare itself for worst-case scenarios involving the bankruptcy and/or closure of radio or television undertakings.  </w:t>
      </w:r>
    </w:p>
    <w:p w14:paraId="70BC8CCD" w14:textId="50E0DE6C" w:rsidR="001A52A0" w:rsidRDefault="00CC0BE4" w:rsidP="00355EF4">
      <w:pPr>
        <w:pStyle w:val="FRPCexecSumm"/>
        <w:sectPr w:rsidR="001A52A0" w:rsidSect="00EB7E64">
          <w:headerReference w:type="default" r:id="rId14"/>
          <w:pgSz w:w="12240" w:h="15840"/>
          <w:pgMar w:top="1440" w:right="1440" w:bottom="1440" w:left="1440" w:header="708" w:footer="708" w:gutter="0"/>
          <w:pgNumType w:start="1"/>
          <w:cols w:space="708"/>
          <w:docGrid w:linePitch="360"/>
        </w:sectPr>
      </w:pPr>
      <w:r>
        <w:t>The best case</w:t>
      </w:r>
      <w:r w:rsidR="00AD29F0">
        <w:t xml:space="preserve"> for Canadians</w:t>
      </w:r>
      <w:r>
        <w:t>, of course, would be that all broadcast programming services survive over the next five years.  The worst case</w:t>
      </w:r>
      <w:r w:rsidR="00AD29F0">
        <w:t xml:space="preserve"> for Canadians</w:t>
      </w:r>
      <w:r>
        <w:t xml:space="preserve">, however, would happen if </w:t>
      </w:r>
      <w:r w:rsidR="006970B0">
        <w:t xml:space="preserve">smaller broadcast ownership groups decide they can no longer operate, and sell their assets to </w:t>
      </w:r>
      <w:r>
        <w:t>Canada’s largest vertically integrated ownership group</w:t>
      </w:r>
      <w:r w:rsidR="00AD29F0">
        <w:t>s:  Canadians would then lose access to diverse news sources</w:t>
      </w:r>
      <w:r w:rsidR="007A6F8C">
        <w:t xml:space="preserve"> – one of the many outcomes that consolidated media ownership was supposed to deliver</w:t>
      </w:r>
      <w:r w:rsidR="00BD5D54">
        <w:t>.  The CRTC must begin – if it has not already done so – to establish a post-pandemic regulatory framework focused on serving the public interest in diverse news content broadcast by Canadians for Canadians.</w:t>
      </w:r>
    </w:p>
    <w:p w14:paraId="30D715CF" w14:textId="77777777" w:rsidR="00931FF2" w:rsidRDefault="00931FF2" w:rsidP="00672DB3">
      <w:pPr>
        <w:pStyle w:val="Heading1"/>
        <w:numPr>
          <w:ilvl w:val="0"/>
          <w:numId w:val="5"/>
        </w:numPr>
        <w:rPr>
          <w:rFonts w:ascii="Calibri" w:hAnsi="Calibri" w:cs="Calibri"/>
        </w:rPr>
        <w:sectPr w:rsidR="00931FF2" w:rsidSect="00B93D13">
          <w:headerReference w:type="default" r:id="rId15"/>
          <w:endnotePr>
            <w:numFmt w:val="decimal"/>
          </w:endnotePr>
          <w:type w:val="continuous"/>
          <w:pgSz w:w="12240" w:h="15840"/>
          <w:pgMar w:top="1440" w:right="1440" w:bottom="1440" w:left="1440" w:header="708" w:footer="708" w:gutter="0"/>
          <w:pgNumType w:start="1"/>
          <w:cols w:space="708"/>
          <w:docGrid w:linePitch="360"/>
        </w:sectPr>
      </w:pPr>
    </w:p>
    <w:p w14:paraId="13D838EE" w14:textId="6BA8411E" w:rsidR="00A25EE6" w:rsidRDefault="00244FC9" w:rsidP="00672DB3">
      <w:pPr>
        <w:pStyle w:val="Heading1"/>
        <w:numPr>
          <w:ilvl w:val="0"/>
          <w:numId w:val="5"/>
        </w:numPr>
        <w:rPr>
          <w:rFonts w:ascii="Calibri" w:hAnsi="Calibri" w:cs="Calibri"/>
        </w:rPr>
      </w:pPr>
      <w:bookmarkStart w:id="4" w:name="_Toc54021158"/>
      <w:r w:rsidRPr="00280D59">
        <w:rPr>
          <w:rFonts w:ascii="Calibri" w:hAnsi="Calibri" w:cs="Calibri"/>
        </w:rPr>
        <w:lastRenderedPageBreak/>
        <w:t>Introduction</w:t>
      </w:r>
      <w:r w:rsidR="00C405F1" w:rsidRPr="00280D59">
        <w:rPr>
          <w:rFonts w:ascii="Calibri" w:hAnsi="Calibri" w:cs="Calibri"/>
        </w:rPr>
        <w:t xml:space="preserve">:  </w:t>
      </w:r>
      <w:r w:rsidR="006D248A">
        <w:rPr>
          <w:rFonts w:ascii="Calibri" w:hAnsi="Calibri" w:cs="Calibri"/>
        </w:rPr>
        <w:t>a</w:t>
      </w:r>
      <w:r w:rsidR="00C405F1" w:rsidRPr="00280D59">
        <w:rPr>
          <w:rFonts w:ascii="Calibri" w:hAnsi="Calibri" w:cs="Calibri"/>
        </w:rPr>
        <w:t xml:space="preserve"> crisis in Canadian broadcasting</w:t>
      </w:r>
      <w:bookmarkEnd w:id="4"/>
      <w:r w:rsidR="00C405F1" w:rsidRPr="00280D59">
        <w:rPr>
          <w:rFonts w:ascii="Calibri" w:hAnsi="Calibri" w:cs="Calibri"/>
        </w:rPr>
        <w:t xml:space="preserve"> </w:t>
      </w:r>
    </w:p>
    <w:p w14:paraId="49261B28" w14:textId="43BCF69D" w:rsidR="00CA1822" w:rsidRPr="00CA1822" w:rsidRDefault="00CA1822" w:rsidP="002B134F">
      <w:pPr>
        <w:pStyle w:val="FRPCintPara"/>
      </w:pPr>
      <w:r>
        <w:t xml:space="preserve">On 13 July 2020 the Canadian Association of Broadcasters (CAB) applied to the CRTC seeking emergency relief, primarily for Canada’s private radio and television stations, in light of the Covid-19 crisis.  The CRTC called for comments on the CAB’s application on 17 September 2020.  </w:t>
      </w:r>
    </w:p>
    <w:p w14:paraId="572A4DD1" w14:textId="4D9FE29A" w:rsidR="006D248A" w:rsidRDefault="006D248A" w:rsidP="006D248A">
      <w:pPr>
        <w:pStyle w:val="Heading2"/>
      </w:pPr>
      <w:bookmarkStart w:id="5" w:name="_Toc54021159"/>
      <w:r>
        <w:t>The unusual context of this proceeding</w:t>
      </w:r>
      <w:bookmarkEnd w:id="5"/>
    </w:p>
    <w:p w14:paraId="75E94356" w14:textId="3718AC07" w:rsidR="00931FF2" w:rsidRDefault="00B40F3A" w:rsidP="002D3CD6">
      <w:pPr>
        <w:pStyle w:val="FRPCintPara"/>
      </w:pPr>
      <w:r>
        <w:t>History shows that e</w:t>
      </w:r>
      <w:r w:rsidR="00187461">
        <w:t>very society has endured crises.</w:t>
      </w:r>
      <w:r w:rsidR="00054CDE">
        <w:t xml:space="preserve">  </w:t>
      </w:r>
      <w:bookmarkStart w:id="6" w:name="_Hlk53984956"/>
      <w:r w:rsidR="00054CDE">
        <w:t>It is now generally accepted that a crisis consists of an unanticipated event, a serious threat to well-being and a short time for responding to the threat.</w:t>
      </w:r>
      <w:bookmarkEnd w:id="6"/>
      <w:r w:rsidR="00054CDE" w:rsidRPr="00966DD2">
        <w:rPr>
          <w:rStyle w:val="EndnoteReference"/>
          <w:rFonts w:cs="Calibri"/>
        </w:rPr>
        <w:endnoteReference w:id="2"/>
      </w:r>
      <w:r w:rsidR="00931FF2">
        <w:t xml:space="preserve">  </w:t>
      </w:r>
      <w:r w:rsidR="00054CDE">
        <w:t>The World Health Organization announced a global pandemic in early March 2020,</w:t>
      </w:r>
      <w:r w:rsidR="00054CDE">
        <w:rPr>
          <w:rStyle w:val="EndnoteReference"/>
          <w:rFonts w:cs="Calibri"/>
        </w:rPr>
        <w:endnoteReference w:id="3"/>
      </w:r>
      <w:r w:rsidR="00054CDE">
        <w:t xml:space="preserve"> when Canadian cases of Covid-19 were beginning to climb.</w:t>
      </w:r>
      <w:r w:rsidR="00054CDE">
        <w:rPr>
          <w:rStyle w:val="EndnoteReference"/>
          <w:rFonts w:cs="Calibri"/>
        </w:rPr>
        <w:endnoteReference w:id="4"/>
      </w:r>
      <w:r w:rsidR="00054CDE">
        <w:t xml:space="preserve">  States of emergency were declared across Canada by 22 March 2020.</w:t>
      </w:r>
      <w:r w:rsidR="00054CDE">
        <w:rPr>
          <w:rStyle w:val="EndnoteReference"/>
          <w:rFonts w:cs="Calibri"/>
        </w:rPr>
        <w:endnoteReference w:id="5"/>
      </w:r>
      <w:r w:rsidR="00054CDE">
        <w:t xml:space="preserve">  </w:t>
      </w:r>
      <w:r w:rsidR="00622849">
        <w:t>Since then n</w:t>
      </w:r>
      <w:r w:rsidR="00054CDE">
        <w:t>early 10,000 people have contracted and died of the virus in this country.</w:t>
      </w:r>
      <w:r w:rsidR="00054CDE">
        <w:rPr>
          <w:rStyle w:val="EndnoteReference"/>
          <w:rFonts w:cs="Calibri"/>
        </w:rPr>
        <w:endnoteReference w:id="6"/>
      </w:r>
      <w:r w:rsidR="00054CDE">
        <w:t xml:space="preserve">  </w:t>
      </w:r>
    </w:p>
    <w:p w14:paraId="47E0F754" w14:textId="15AC8615" w:rsidR="00054CDE" w:rsidRDefault="00054CDE" w:rsidP="002D3CD6">
      <w:pPr>
        <w:pStyle w:val="FRPCintPara"/>
      </w:pPr>
      <w:r>
        <w:t>Measures taken to limit people’s exposure to the virus resulted in a 1.7% reduction in real output in Canada’s economy and a 5.6% reduction in hours worked in the first three months of the year.</w:t>
      </w:r>
      <w:r>
        <w:rPr>
          <w:rStyle w:val="EndnoteReference"/>
          <w:rFonts w:cs="Calibri"/>
        </w:rPr>
        <w:endnoteReference w:id="7"/>
      </w:r>
      <w:r>
        <w:t xml:space="preserve"> In April 2020 Canada’s real Gross Domestic Product fell 11.6%.</w:t>
      </w:r>
      <w:r>
        <w:rPr>
          <w:rStyle w:val="EndnoteReference"/>
          <w:rFonts w:cs="Calibri"/>
        </w:rPr>
        <w:endnoteReference w:id="8"/>
      </w:r>
    </w:p>
    <w:p w14:paraId="6EFE3B0B" w14:textId="2FE4A026" w:rsidR="00054CDE" w:rsidRDefault="00054CDE" w:rsidP="00B71251">
      <w:pPr>
        <w:pStyle w:val="FRPCintPara"/>
      </w:pPr>
      <w:r>
        <w:t xml:space="preserve">The decrease in GDP matters to Canadian broadcasters because for decades changes in economic growth have been reflected by changes in </w:t>
      </w:r>
      <w:r w:rsidR="00BF5380">
        <w:t xml:space="preserve">conventional </w:t>
      </w:r>
      <w:r>
        <w:t>radio and television advertising revenues.</w:t>
      </w:r>
      <w:r>
        <w:rPr>
          <w:rStyle w:val="EndnoteReference"/>
        </w:rPr>
        <w:endnoteReference w:id="9"/>
      </w:r>
      <w:r>
        <w:t xml:space="preserve">  </w:t>
      </w:r>
      <w:r w:rsidRPr="002F3F8D">
        <w:t xml:space="preserve">Overall, 97% of the changes in </w:t>
      </w:r>
      <w:r w:rsidR="00622849">
        <w:t xml:space="preserve">their </w:t>
      </w:r>
      <w:r w:rsidRPr="002F3F8D">
        <w:t>radio advertising</w:t>
      </w:r>
      <w:r w:rsidR="002729FE">
        <w:t xml:space="preserve"> </w:t>
      </w:r>
      <w:r w:rsidR="00622849">
        <w:t xml:space="preserve">revenues </w:t>
      </w:r>
      <w:r w:rsidRPr="002F3F8D">
        <w:t xml:space="preserve">correlate with changes in </w:t>
      </w:r>
      <w:r w:rsidR="002729FE">
        <w:t xml:space="preserve">GDP; </w:t>
      </w:r>
      <w:r w:rsidR="00622849">
        <w:t>these</w:t>
      </w:r>
      <w:r w:rsidR="002729FE">
        <w:t xml:space="preserve"> </w:t>
      </w:r>
      <w:r>
        <w:t>revenues began to decrease in 2016</w:t>
      </w:r>
      <w:r w:rsidR="002729FE">
        <w:t xml:space="preserve">, however:  </w:t>
      </w:r>
      <w:r w:rsidR="00891BEB">
        <w:fldChar w:fldCharType="begin"/>
      </w:r>
      <w:r w:rsidR="00891BEB">
        <w:instrText xml:space="preserve"> REF _Ref53985456 \h </w:instrText>
      </w:r>
      <w:r w:rsidR="00891BEB">
        <w:fldChar w:fldCharType="separate"/>
      </w:r>
      <w:r w:rsidR="00A74C32">
        <w:t xml:space="preserve">Appendix </w:t>
      </w:r>
      <w:r w:rsidR="00A74C32">
        <w:rPr>
          <w:noProof/>
        </w:rPr>
        <w:t>1</w:t>
      </w:r>
      <w:r w:rsidR="00891BEB">
        <w:fldChar w:fldCharType="end"/>
      </w:r>
      <w:r>
        <w:t>.  The</w:t>
      </w:r>
      <w:r w:rsidRPr="006D248A">
        <w:t xml:space="preserve"> relationship between changes in GDP and conventional </w:t>
      </w:r>
      <w:r>
        <w:t xml:space="preserve">television </w:t>
      </w:r>
      <w:r w:rsidRPr="006D248A">
        <w:t xml:space="preserve">advertising revenues </w:t>
      </w:r>
      <w:r>
        <w:t>is weaker than for radio, and was severed almost a decade ago</w:t>
      </w:r>
      <w:r w:rsidRPr="006D248A">
        <w:t xml:space="preserve">:  </w:t>
      </w:r>
      <w:r>
        <w:fldChar w:fldCharType="begin"/>
      </w:r>
      <w:r>
        <w:instrText xml:space="preserve"> REF _Ref53985517 \h </w:instrText>
      </w:r>
      <w:r>
        <w:fldChar w:fldCharType="separate"/>
      </w:r>
      <w:r w:rsidR="00A74C32">
        <w:t xml:space="preserve">Appendix </w:t>
      </w:r>
      <w:r w:rsidR="00A74C32">
        <w:rPr>
          <w:noProof/>
        </w:rPr>
        <w:t>2</w:t>
      </w:r>
      <w:r>
        <w:fldChar w:fldCharType="end"/>
      </w:r>
      <w:r>
        <w:t xml:space="preserve">.  </w:t>
      </w:r>
    </w:p>
    <w:p w14:paraId="1E8B257B" w14:textId="5A3B62C7" w:rsidR="00054CDE" w:rsidRDefault="004D40D9" w:rsidP="00891BEB">
      <w:pPr>
        <w:pStyle w:val="FRPCintPara"/>
        <w:spacing w:after="120"/>
      </w:pPr>
      <w:r>
        <w:t>The CAB’s application – focussed on privately owned, conventional radio and television stations</w:t>
      </w:r>
      <w:r w:rsidRPr="002729FE">
        <w:rPr>
          <w:rStyle w:val="FootnoteReference"/>
          <w:i/>
          <w:iCs/>
        </w:rPr>
        <w:footnoteReference w:id="1"/>
      </w:r>
      <w:r>
        <w:t xml:space="preserve"> – does not clearly state the overall impact so far on private broadcasters.  </w:t>
      </w:r>
      <w:r w:rsidR="00891BEB">
        <w:t xml:space="preserve">the Forum estimates somewhat </w:t>
      </w:r>
      <w:r w:rsidR="00054CDE">
        <w:t xml:space="preserve">simplistically </w:t>
      </w:r>
      <w:r w:rsidR="00891BEB">
        <w:t xml:space="preserve">(based </w:t>
      </w:r>
      <w:r w:rsidR="00054CDE">
        <w:t>on the CRTC’s estimates of five-year compound annual growth rates for privately controlled radio and television stations</w:t>
      </w:r>
      <w:r w:rsidR="00891BEB">
        <w:t>) that but for the Covid-19 crisis</w:t>
      </w:r>
      <w:r w:rsidR="00054CDE">
        <w:t xml:space="preserve">, total conventional broadcast revenues in 2019/20 might have amounted to just under $3 billion:  </w:t>
      </w:r>
      <w:r w:rsidR="00054CDE">
        <w:fldChar w:fldCharType="begin"/>
      </w:r>
      <w:r w:rsidR="00054CDE">
        <w:instrText xml:space="preserve"> REF _Ref53911453 \h </w:instrText>
      </w:r>
      <w:r w:rsidR="00054CDE">
        <w:fldChar w:fldCharType="separate"/>
      </w:r>
      <w:r w:rsidR="00A74C32">
        <w:t xml:space="preserve">Table </w:t>
      </w:r>
      <w:r w:rsidR="00A74C32">
        <w:rPr>
          <w:noProof/>
        </w:rPr>
        <w:t>1</w:t>
      </w:r>
      <w:r w:rsidR="00054CDE">
        <w:fldChar w:fldCharType="end"/>
      </w:r>
      <w:r w:rsidR="00054CDE">
        <w:t xml:space="preserve">.   </w:t>
      </w:r>
    </w:p>
    <w:p w14:paraId="6453F1D0" w14:textId="450B25DC" w:rsidR="00054CDE" w:rsidRDefault="00054CDE" w:rsidP="00D579A9">
      <w:pPr>
        <w:pStyle w:val="Caption"/>
        <w:keepNext/>
      </w:pPr>
      <w:bookmarkStart w:id="7" w:name="_Ref53911453"/>
      <w:bookmarkStart w:id="8" w:name="_Toc54017094"/>
      <w:r>
        <w:t xml:space="preserve">Table </w:t>
      </w:r>
      <w:fldSimple w:instr=" SEQ Table \* ARABIC ">
        <w:r w:rsidR="00A74C32">
          <w:rPr>
            <w:noProof/>
          </w:rPr>
          <w:t>1</w:t>
        </w:r>
      </w:fldSimple>
      <w:bookmarkEnd w:id="7"/>
      <w:r>
        <w:rPr>
          <w:noProof/>
        </w:rPr>
        <w:tab/>
        <w:t>Private conventional TV and radio, projected revenues for 2019/20</w:t>
      </w:r>
      <w:bookmarkEnd w:id="8"/>
    </w:p>
    <w:tbl>
      <w:tblPr>
        <w:tblW w:w="10089" w:type="dxa"/>
        <w:tblInd w:w="86" w:type="dxa"/>
        <w:tblLook w:val="04A0" w:firstRow="1" w:lastRow="0" w:firstColumn="1" w:lastColumn="0" w:noHBand="0" w:noVBand="1"/>
      </w:tblPr>
      <w:tblGrid>
        <w:gridCol w:w="1979"/>
        <w:gridCol w:w="1710"/>
        <w:gridCol w:w="2610"/>
        <w:gridCol w:w="2250"/>
        <w:gridCol w:w="1540"/>
      </w:tblGrid>
      <w:tr w:rsidR="00054CDE" w14:paraId="076A4E72" w14:textId="77777777" w:rsidTr="00891BEB">
        <w:tc>
          <w:tcPr>
            <w:tcW w:w="1979" w:type="dxa"/>
          </w:tcPr>
          <w:p w14:paraId="5DB04BA0" w14:textId="6E815901" w:rsidR="00054CDE" w:rsidRPr="008C3693" w:rsidRDefault="00054CDE" w:rsidP="00DB550F">
            <w:pPr>
              <w:pStyle w:val="Table"/>
              <w:ind w:left="0"/>
              <w:rPr>
                <w:b/>
                <w:bCs/>
                <w:sz w:val="20"/>
                <w:szCs w:val="20"/>
              </w:rPr>
            </w:pPr>
            <w:r w:rsidRPr="008C3693">
              <w:rPr>
                <w:b/>
                <w:bCs/>
                <w:sz w:val="20"/>
                <w:szCs w:val="20"/>
              </w:rPr>
              <w:t>$ millions</w:t>
            </w:r>
          </w:p>
        </w:tc>
        <w:tc>
          <w:tcPr>
            <w:tcW w:w="1710" w:type="dxa"/>
          </w:tcPr>
          <w:p w14:paraId="1BDD8D2C" w14:textId="05E912F3" w:rsidR="00054CDE" w:rsidRPr="008C3693" w:rsidRDefault="00054CDE" w:rsidP="00DB550F">
            <w:pPr>
              <w:pStyle w:val="Table"/>
              <w:ind w:left="0"/>
              <w:rPr>
                <w:b/>
                <w:bCs/>
                <w:sz w:val="20"/>
                <w:szCs w:val="20"/>
              </w:rPr>
            </w:pPr>
            <w:r w:rsidRPr="008C3693">
              <w:rPr>
                <w:b/>
                <w:bCs/>
                <w:sz w:val="20"/>
                <w:szCs w:val="20"/>
              </w:rPr>
              <w:t>Total revenues</w:t>
            </w:r>
          </w:p>
          <w:p w14:paraId="4F522924" w14:textId="1D7DA2F5" w:rsidR="00054CDE" w:rsidRPr="008C3693" w:rsidRDefault="00054CDE" w:rsidP="00DB550F">
            <w:pPr>
              <w:pStyle w:val="Table"/>
              <w:ind w:left="0"/>
              <w:rPr>
                <w:b/>
                <w:bCs/>
                <w:sz w:val="20"/>
                <w:szCs w:val="20"/>
              </w:rPr>
            </w:pPr>
            <w:r w:rsidRPr="008C3693">
              <w:rPr>
                <w:b/>
                <w:bCs/>
                <w:sz w:val="20"/>
                <w:szCs w:val="20"/>
              </w:rPr>
              <w:t>(2018/19)</w:t>
            </w:r>
          </w:p>
        </w:tc>
        <w:tc>
          <w:tcPr>
            <w:tcW w:w="2610" w:type="dxa"/>
          </w:tcPr>
          <w:p w14:paraId="45DB800B" w14:textId="0D28DA14" w:rsidR="00054CDE" w:rsidRPr="008C3693" w:rsidRDefault="00054CDE" w:rsidP="00DB550F">
            <w:pPr>
              <w:pStyle w:val="Table"/>
              <w:ind w:left="0"/>
              <w:rPr>
                <w:b/>
                <w:bCs/>
                <w:sz w:val="20"/>
                <w:szCs w:val="20"/>
              </w:rPr>
            </w:pPr>
            <w:r w:rsidRPr="008C3693">
              <w:rPr>
                <w:b/>
                <w:bCs/>
                <w:sz w:val="20"/>
                <w:szCs w:val="20"/>
              </w:rPr>
              <w:t>CAGR (Compound annual growth rate) – 2015 to 2019</w:t>
            </w:r>
          </w:p>
        </w:tc>
        <w:tc>
          <w:tcPr>
            <w:tcW w:w="2250" w:type="dxa"/>
          </w:tcPr>
          <w:p w14:paraId="1C290506" w14:textId="6928308D" w:rsidR="00054CDE" w:rsidRPr="008C3693" w:rsidRDefault="00054CDE" w:rsidP="00DB550F">
            <w:pPr>
              <w:pStyle w:val="Table"/>
              <w:ind w:left="0"/>
              <w:rPr>
                <w:b/>
                <w:bCs/>
                <w:sz w:val="20"/>
                <w:szCs w:val="20"/>
              </w:rPr>
            </w:pPr>
            <w:r w:rsidRPr="008C3693">
              <w:rPr>
                <w:b/>
                <w:bCs/>
                <w:sz w:val="20"/>
                <w:szCs w:val="20"/>
              </w:rPr>
              <w:t xml:space="preserve">Pre-Covid-19 projection </w:t>
            </w:r>
          </w:p>
          <w:p w14:paraId="1E013920" w14:textId="77E15FE6" w:rsidR="00054CDE" w:rsidRPr="008C3693" w:rsidRDefault="00054CDE" w:rsidP="00DB550F">
            <w:pPr>
              <w:pStyle w:val="Table"/>
              <w:ind w:left="0"/>
              <w:rPr>
                <w:b/>
                <w:bCs/>
                <w:sz w:val="20"/>
                <w:szCs w:val="20"/>
              </w:rPr>
            </w:pPr>
            <w:r w:rsidRPr="008C3693">
              <w:rPr>
                <w:b/>
                <w:bCs/>
                <w:sz w:val="20"/>
                <w:szCs w:val="20"/>
              </w:rPr>
              <w:t>for 2019/20</w:t>
            </w:r>
          </w:p>
        </w:tc>
        <w:tc>
          <w:tcPr>
            <w:tcW w:w="1535" w:type="dxa"/>
          </w:tcPr>
          <w:p w14:paraId="2FF93B72" w14:textId="705535CC" w:rsidR="00054CDE" w:rsidRPr="008C3693" w:rsidRDefault="00054CDE" w:rsidP="00D579A9">
            <w:pPr>
              <w:pStyle w:val="Table"/>
              <w:ind w:left="0"/>
              <w:rPr>
                <w:b/>
                <w:bCs/>
                <w:sz w:val="20"/>
                <w:szCs w:val="20"/>
              </w:rPr>
            </w:pPr>
            <w:r w:rsidRPr="008C3693">
              <w:rPr>
                <w:b/>
                <w:bCs/>
                <w:sz w:val="20"/>
                <w:szCs w:val="20"/>
              </w:rPr>
              <w:t>Difference</w:t>
            </w:r>
          </w:p>
        </w:tc>
      </w:tr>
      <w:tr w:rsidR="00054CDE" w14:paraId="3CF1CDEC" w14:textId="77777777" w:rsidTr="00891BEB">
        <w:tc>
          <w:tcPr>
            <w:tcW w:w="1979" w:type="dxa"/>
          </w:tcPr>
          <w:p w14:paraId="14503093" w14:textId="1BD5A45E" w:rsidR="00054CDE" w:rsidRPr="00D579A9" w:rsidRDefault="00054CDE" w:rsidP="00DB550F">
            <w:pPr>
              <w:pStyle w:val="Table"/>
              <w:ind w:left="0"/>
              <w:rPr>
                <w:sz w:val="20"/>
                <w:szCs w:val="20"/>
              </w:rPr>
            </w:pPr>
            <w:r w:rsidRPr="00D579A9">
              <w:rPr>
                <w:sz w:val="20"/>
                <w:szCs w:val="20"/>
              </w:rPr>
              <w:t xml:space="preserve">Radio stations </w:t>
            </w:r>
          </w:p>
        </w:tc>
        <w:tc>
          <w:tcPr>
            <w:tcW w:w="1710" w:type="dxa"/>
          </w:tcPr>
          <w:p w14:paraId="636443FA" w14:textId="7ABF9517" w:rsidR="00054CDE" w:rsidRPr="00D579A9" w:rsidRDefault="00054CDE" w:rsidP="00D579A9">
            <w:pPr>
              <w:pStyle w:val="Table"/>
              <w:ind w:left="0" w:right="252"/>
              <w:jc w:val="right"/>
              <w:rPr>
                <w:sz w:val="20"/>
                <w:szCs w:val="20"/>
              </w:rPr>
            </w:pPr>
            <w:r w:rsidRPr="00D579A9">
              <w:rPr>
                <w:sz w:val="20"/>
                <w:szCs w:val="20"/>
              </w:rPr>
              <w:t>$1,453.0</w:t>
            </w:r>
          </w:p>
        </w:tc>
        <w:tc>
          <w:tcPr>
            <w:tcW w:w="2610" w:type="dxa"/>
          </w:tcPr>
          <w:p w14:paraId="7CD20A08" w14:textId="7410E990" w:rsidR="00054CDE" w:rsidRPr="00D579A9" w:rsidRDefault="00054CDE" w:rsidP="00D579A9">
            <w:pPr>
              <w:pStyle w:val="Table"/>
              <w:ind w:left="0" w:right="252"/>
              <w:jc w:val="right"/>
              <w:rPr>
                <w:sz w:val="20"/>
                <w:szCs w:val="20"/>
              </w:rPr>
            </w:pPr>
            <w:r w:rsidRPr="00D579A9">
              <w:rPr>
                <w:sz w:val="20"/>
                <w:szCs w:val="20"/>
              </w:rPr>
              <w:t>-2.4%</w:t>
            </w:r>
          </w:p>
        </w:tc>
        <w:tc>
          <w:tcPr>
            <w:tcW w:w="2250" w:type="dxa"/>
          </w:tcPr>
          <w:p w14:paraId="1890C017" w14:textId="22FE15FF" w:rsidR="00054CDE" w:rsidRPr="00D579A9" w:rsidRDefault="00054CDE" w:rsidP="00D579A9">
            <w:pPr>
              <w:pStyle w:val="Table"/>
              <w:ind w:left="0" w:right="252"/>
              <w:jc w:val="right"/>
              <w:rPr>
                <w:sz w:val="20"/>
                <w:szCs w:val="20"/>
              </w:rPr>
            </w:pPr>
            <w:r w:rsidRPr="00D579A9">
              <w:rPr>
                <w:sz w:val="20"/>
                <w:szCs w:val="20"/>
              </w:rPr>
              <w:t>$1,418.1</w:t>
            </w:r>
          </w:p>
        </w:tc>
        <w:tc>
          <w:tcPr>
            <w:tcW w:w="1535" w:type="dxa"/>
          </w:tcPr>
          <w:p w14:paraId="0425E5E9" w14:textId="09DCA688" w:rsidR="00054CDE" w:rsidRPr="00D579A9" w:rsidRDefault="00054CDE" w:rsidP="00D579A9">
            <w:pPr>
              <w:pStyle w:val="Table"/>
              <w:ind w:left="0"/>
              <w:jc w:val="right"/>
              <w:rPr>
                <w:sz w:val="20"/>
                <w:szCs w:val="20"/>
              </w:rPr>
            </w:pPr>
            <w:r w:rsidRPr="00D579A9">
              <w:rPr>
                <w:sz w:val="20"/>
                <w:szCs w:val="20"/>
              </w:rPr>
              <w:t>-2.4% (-$34.9)</w:t>
            </w:r>
          </w:p>
        </w:tc>
      </w:tr>
      <w:tr w:rsidR="00054CDE" w14:paraId="7D014A33" w14:textId="77777777" w:rsidTr="00891BEB">
        <w:tc>
          <w:tcPr>
            <w:tcW w:w="1979" w:type="dxa"/>
          </w:tcPr>
          <w:p w14:paraId="2375AC01" w14:textId="2A279660" w:rsidR="00054CDE" w:rsidRPr="00D579A9" w:rsidRDefault="00054CDE" w:rsidP="00DB550F">
            <w:pPr>
              <w:pStyle w:val="Table"/>
              <w:ind w:left="0"/>
              <w:rPr>
                <w:sz w:val="20"/>
                <w:szCs w:val="20"/>
              </w:rPr>
            </w:pPr>
            <w:r w:rsidRPr="00D579A9">
              <w:rPr>
                <w:sz w:val="20"/>
                <w:szCs w:val="20"/>
              </w:rPr>
              <w:t xml:space="preserve">Television stations </w:t>
            </w:r>
          </w:p>
        </w:tc>
        <w:tc>
          <w:tcPr>
            <w:tcW w:w="1710" w:type="dxa"/>
          </w:tcPr>
          <w:p w14:paraId="745470F6" w14:textId="016273D9" w:rsidR="00054CDE" w:rsidRPr="00D579A9" w:rsidRDefault="00054CDE" w:rsidP="00D579A9">
            <w:pPr>
              <w:pStyle w:val="Table"/>
              <w:ind w:left="0" w:right="252"/>
              <w:jc w:val="right"/>
              <w:rPr>
                <w:sz w:val="20"/>
                <w:szCs w:val="20"/>
              </w:rPr>
            </w:pPr>
            <w:r w:rsidRPr="00D579A9">
              <w:rPr>
                <w:sz w:val="20"/>
                <w:szCs w:val="20"/>
              </w:rPr>
              <w:t>$1,553.6</w:t>
            </w:r>
          </w:p>
        </w:tc>
        <w:tc>
          <w:tcPr>
            <w:tcW w:w="2610" w:type="dxa"/>
          </w:tcPr>
          <w:p w14:paraId="1311A52E" w14:textId="181FC06A" w:rsidR="00054CDE" w:rsidRPr="00D579A9" w:rsidRDefault="00054CDE" w:rsidP="00D579A9">
            <w:pPr>
              <w:pStyle w:val="Table"/>
              <w:ind w:left="0" w:right="252"/>
              <w:jc w:val="right"/>
              <w:rPr>
                <w:sz w:val="20"/>
                <w:szCs w:val="20"/>
              </w:rPr>
            </w:pPr>
            <w:r w:rsidRPr="00D579A9">
              <w:rPr>
                <w:sz w:val="20"/>
                <w:szCs w:val="20"/>
              </w:rPr>
              <w:t>-3.0%</w:t>
            </w:r>
          </w:p>
        </w:tc>
        <w:tc>
          <w:tcPr>
            <w:tcW w:w="2250" w:type="dxa"/>
          </w:tcPr>
          <w:p w14:paraId="667E7BF6" w14:textId="6F3079A2" w:rsidR="00054CDE" w:rsidRPr="00D579A9" w:rsidRDefault="00054CDE" w:rsidP="00D579A9">
            <w:pPr>
              <w:pStyle w:val="Table"/>
              <w:ind w:left="0" w:right="252"/>
              <w:jc w:val="right"/>
              <w:rPr>
                <w:sz w:val="20"/>
                <w:szCs w:val="20"/>
              </w:rPr>
            </w:pPr>
            <w:r w:rsidRPr="00D579A9">
              <w:rPr>
                <w:sz w:val="20"/>
                <w:szCs w:val="20"/>
              </w:rPr>
              <w:t>$1,507.0</w:t>
            </w:r>
          </w:p>
        </w:tc>
        <w:tc>
          <w:tcPr>
            <w:tcW w:w="1535" w:type="dxa"/>
          </w:tcPr>
          <w:p w14:paraId="1D666A1B" w14:textId="70ED6128" w:rsidR="00054CDE" w:rsidRPr="00D579A9" w:rsidRDefault="00054CDE" w:rsidP="00D579A9">
            <w:pPr>
              <w:pStyle w:val="Table"/>
              <w:ind w:left="0"/>
              <w:jc w:val="right"/>
              <w:rPr>
                <w:sz w:val="20"/>
                <w:szCs w:val="20"/>
              </w:rPr>
            </w:pPr>
            <w:r w:rsidRPr="00D579A9">
              <w:rPr>
                <w:sz w:val="20"/>
                <w:szCs w:val="20"/>
              </w:rPr>
              <w:t>-3.0% (-$46.6)</w:t>
            </w:r>
          </w:p>
        </w:tc>
      </w:tr>
      <w:tr w:rsidR="00054CDE" w14:paraId="4FA742C5" w14:textId="77777777" w:rsidTr="00891BEB">
        <w:tc>
          <w:tcPr>
            <w:tcW w:w="1979" w:type="dxa"/>
          </w:tcPr>
          <w:p w14:paraId="6F9F9DA3" w14:textId="32687F6E" w:rsidR="00054CDE" w:rsidRPr="00D579A9" w:rsidRDefault="00054CDE" w:rsidP="00DB550F">
            <w:pPr>
              <w:pStyle w:val="Table"/>
              <w:ind w:left="0"/>
              <w:rPr>
                <w:b/>
                <w:bCs/>
                <w:sz w:val="20"/>
                <w:szCs w:val="20"/>
              </w:rPr>
            </w:pPr>
            <w:r w:rsidRPr="00D579A9">
              <w:rPr>
                <w:b/>
                <w:bCs/>
                <w:sz w:val="20"/>
                <w:szCs w:val="20"/>
              </w:rPr>
              <w:t>Total</w:t>
            </w:r>
          </w:p>
        </w:tc>
        <w:tc>
          <w:tcPr>
            <w:tcW w:w="1710" w:type="dxa"/>
          </w:tcPr>
          <w:p w14:paraId="596F68DB" w14:textId="0286E423" w:rsidR="00054CDE" w:rsidRPr="00D579A9" w:rsidRDefault="00054CDE" w:rsidP="00D579A9">
            <w:pPr>
              <w:pStyle w:val="Table"/>
              <w:ind w:left="0" w:right="252"/>
              <w:jc w:val="right"/>
              <w:rPr>
                <w:b/>
                <w:bCs/>
                <w:sz w:val="20"/>
                <w:szCs w:val="20"/>
              </w:rPr>
            </w:pPr>
            <w:r w:rsidRPr="00D579A9">
              <w:rPr>
                <w:b/>
                <w:bCs/>
                <w:sz w:val="20"/>
                <w:szCs w:val="20"/>
              </w:rPr>
              <w:fldChar w:fldCharType="begin"/>
            </w:r>
            <w:r w:rsidRPr="00D579A9">
              <w:rPr>
                <w:b/>
                <w:bCs/>
                <w:sz w:val="20"/>
                <w:szCs w:val="20"/>
              </w:rPr>
              <w:instrText xml:space="preserve"> =SUM(ABOVE) </w:instrText>
            </w:r>
            <w:r w:rsidRPr="00D579A9">
              <w:rPr>
                <w:b/>
                <w:bCs/>
                <w:sz w:val="20"/>
                <w:szCs w:val="20"/>
              </w:rPr>
              <w:fldChar w:fldCharType="separate"/>
            </w:r>
            <w:r w:rsidRPr="00D579A9">
              <w:rPr>
                <w:b/>
                <w:bCs/>
                <w:noProof/>
                <w:sz w:val="20"/>
                <w:szCs w:val="20"/>
              </w:rPr>
              <w:t>$3,006.60</w:t>
            </w:r>
            <w:r w:rsidRPr="00D579A9">
              <w:rPr>
                <w:b/>
                <w:bCs/>
                <w:sz w:val="20"/>
                <w:szCs w:val="20"/>
              </w:rPr>
              <w:fldChar w:fldCharType="end"/>
            </w:r>
          </w:p>
        </w:tc>
        <w:tc>
          <w:tcPr>
            <w:tcW w:w="2610" w:type="dxa"/>
          </w:tcPr>
          <w:p w14:paraId="76A40EA1" w14:textId="77777777" w:rsidR="00054CDE" w:rsidRPr="00D579A9" w:rsidRDefault="00054CDE" w:rsidP="00D579A9">
            <w:pPr>
              <w:pStyle w:val="Table"/>
              <w:ind w:left="0" w:right="252"/>
              <w:jc w:val="right"/>
              <w:rPr>
                <w:b/>
                <w:bCs/>
                <w:sz w:val="20"/>
                <w:szCs w:val="20"/>
              </w:rPr>
            </w:pPr>
          </w:p>
        </w:tc>
        <w:tc>
          <w:tcPr>
            <w:tcW w:w="2250" w:type="dxa"/>
          </w:tcPr>
          <w:p w14:paraId="2216701A" w14:textId="2FF1B797" w:rsidR="00054CDE" w:rsidRPr="00D579A9" w:rsidRDefault="00054CDE" w:rsidP="00D579A9">
            <w:pPr>
              <w:pStyle w:val="Table"/>
              <w:ind w:left="0" w:right="252"/>
              <w:jc w:val="right"/>
              <w:rPr>
                <w:b/>
                <w:bCs/>
                <w:sz w:val="20"/>
                <w:szCs w:val="20"/>
              </w:rPr>
            </w:pPr>
            <w:r w:rsidRPr="00D579A9">
              <w:rPr>
                <w:b/>
                <w:bCs/>
                <w:sz w:val="20"/>
                <w:szCs w:val="20"/>
              </w:rPr>
              <w:fldChar w:fldCharType="begin"/>
            </w:r>
            <w:r w:rsidRPr="00D579A9">
              <w:rPr>
                <w:b/>
                <w:bCs/>
                <w:sz w:val="20"/>
                <w:szCs w:val="20"/>
              </w:rPr>
              <w:instrText xml:space="preserve"> =SUM(ABOVE) </w:instrText>
            </w:r>
            <w:r w:rsidRPr="00D579A9">
              <w:rPr>
                <w:b/>
                <w:bCs/>
                <w:sz w:val="20"/>
                <w:szCs w:val="20"/>
              </w:rPr>
              <w:fldChar w:fldCharType="separate"/>
            </w:r>
            <w:r w:rsidRPr="00D579A9">
              <w:rPr>
                <w:b/>
                <w:bCs/>
                <w:noProof/>
                <w:sz w:val="20"/>
                <w:szCs w:val="20"/>
              </w:rPr>
              <w:t>$2,925.10</w:t>
            </w:r>
            <w:r w:rsidRPr="00D579A9">
              <w:rPr>
                <w:b/>
                <w:bCs/>
                <w:sz w:val="20"/>
                <w:szCs w:val="20"/>
              </w:rPr>
              <w:fldChar w:fldCharType="end"/>
            </w:r>
          </w:p>
        </w:tc>
        <w:tc>
          <w:tcPr>
            <w:tcW w:w="1535" w:type="dxa"/>
          </w:tcPr>
          <w:p w14:paraId="51D7676B" w14:textId="137E29A3" w:rsidR="00054CDE" w:rsidRPr="00D579A9" w:rsidRDefault="00054CDE" w:rsidP="00D579A9">
            <w:pPr>
              <w:pStyle w:val="Table"/>
              <w:ind w:left="0"/>
              <w:jc w:val="right"/>
              <w:rPr>
                <w:b/>
                <w:bCs/>
                <w:sz w:val="20"/>
                <w:szCs w:val="20"/>
              </w:rPr>
            </w:pPr>
            <w:r w:rsidRPr="00D579A9">
              <w:rPr>
                <w:b/>
                <w:bCs/>
                <w:sz w:val="20"/>
                <w:szCs w:val="20"/>
              </w:rPr>
              <w:t>-2.7% (-$81.5)</w:t>
            </w:r>
          </w:p>
        </w:tc>
      </w:tr>
      <w:tr w:rsidR="00054CDE" w14:paraId="37A196F2" w14:textId="77777777" w:rsidTr="00891BEB">
        <w:tc>
          <w:tcPr>
            <w:tcW w:w="10089" w:type="dxa"/>
            <w:gridSpan w:val="5"/>
          </w:tcPr>
          <w:p w14:paraId="6D06C432" w14:textId="10D7A572" w:rsidR="00054CDE" w:rsidRPr="00D579A9" w:rsidRDefault="00054CDE" w:rsidP="00DB550F">
            <w:pPr>
              <w:pStyle w:val="Table"/>
              <w:ind w:left="0"/>
              <w:rPr>
                <w:sz w:val="20"/>
                <w:szCs w:val="20"/>
              </w:rPr>
            </w:pPr>
            <w:r w:rsidRPr="00D579A9">
              <w:rPr>
                <w:sz w:val="20"/>
                <w:szCs w:val="20"/>
              </w:rPr>
              <w:t>Sources:  CRTC, statistical and financial summaries for private radio and conventional private television</w:t>
            </w:r>
          </w:p>
        </w:tc>
      </w:tr>
    </w:tbl>
    <w:p w14:paraId="5064C0D5" w14:textId="77777777" w:rsidR="00054CDE" w:rsidRDefault="00054CDE" w:rsidP="00DB550F">
      <w:pPr>
        <w:pStyle w:val="Table"/>
      </w:pPr>
    </w:p>
    <w:p w14:paraId="2A695F62" w14:textId="402053D6" w:rsidR="00054CDE" w:rsidRDefault="00054CDE" w:rsidP="002B134F">
      <w:pPr>
        <w:pStyle w:val="FRPCintPara"/>
      </w:pPr>
      <w:r>
        <w:t xml:space="preserve">The reduced services or closures of many businesses across Canada led </w:t>
      </w:r>
      <w:r w:rsidRPr="00165E84">
        <w:t xml:space="preserve">Parliament </w:t>
      </w:r>
      <w:r>
        <w:t>to offer</w:t>
      </w:r>
      <w:r w:rsidRPr="00165E84">
        <w:t xml:space="preserve"> financial assistance through the Canada Emergency Response Benefit, the Canada Recovery Benefit</w:t>
      </w:r>
      <w:r>
        <w:t xml:space="preserve">, </w:t>
      </w:r>
      <w:r w:rsidRPr="00165E84">
        <w:t>the Canada Emergency Wage Subsidy</w:t>
      </w:r>
      <w:r>
        <w:t xml:space="preserve"> and, from Canadian Heritage, the $500 million Emergency Support Fund</w:t>
      </w:r>
      <w:r w:rsidRPr="00165E84">
        <w:t xml:space="preserve">.  </w:t>
      </w:r>
      <w:r w:rsidR="00622849">
        <w:t xml:space="preserve">Some of this financial support is available to </w:t>
      </w:r>
      <w:r w:rsidR="008C3693">
        <w:t xml:space="preserve">and, as we understand it, has assisted some of </w:t>
      </w:r>
      <w:r w:rsidR="00622849">
        <w:t>Canada’s private broadcasters.</w:t>
      </w:r>
    </w:p>
    <w:p w14:paraId="26742222" w14:textId="68D4A4FC" w:rsidR="00054CDE" w:rsidRDefault="00054CDE" w:rsidP="002B134F">
      <w:pPr>
        <w:pStyle w:val="FRPCintPara"/>
      </w:pPr>
      <w:r w:rsidRPr="00165E84">
        <w:t xml:space="preserve">But Canada is now entering the eighth month of widespread social and economic disruption caused by the global health pandemic, and the Federal government believes that Canada will be hit </w:t>
      </w:r>
      <w:r>
        <w:t xml:space="preserve">– or has already  begun to be hit – </w:t>
      </w:r>
      <w:r w:rsidRPr="00165E84">
        <w:t xml:space="preserve">by a ‘second wave’ of the pandemic </w:t>
      </w:r>
      <w:r>
        <w:t>by</w:t>
      </w:r>
      <w:r w:rsidRPr="00165E84">
        <w:t xml:space="preserve"> mid-October 2020.</w:t>
      </w:r>
      <w:r>
        <w:rPr>
          <w:rStyle w:val="EndnoteReference"/>
          <w:rFonts w:cs="Calibri"/>
        </w:rPr>
        <w:endnoteReference w:id="10"/>
      </w:r>
      <w:r w:rsidRPr="00165E84">
        <w:t xml:space="preserve">  Whether the country is or is not in a ‘true’ crisis</w:t>
      </w:r>
      <w:r>
        <w:rPr>
          <w:rStyle w:val="EndnoteReference"/>
          <w:rFonts w:cs="Calibri"/>
        </w:rPr>
        <w:endnoteReference w:id="11"/>
      </w:r>
      <w:r w:rsidRPr="00165E84">
        <w:t xml:space="preserve"> few would argue that Canadian society and the economy will be subject to turmoil for many more months.</w:t>
      </w:r>
      <w:r>
        <w:t xml:space="preserve">  Canadian broadcasters and the communities they serve will also continue to be affected by the pandemic, and the Forum supports efforts to minimize the pandemic’s impact on individuals, communities and businesses.</w:t>
      </w:r>
    </w:p>
    <w:p w14:paraId="03AC38B8" w14:textId="66AB349F" w:rsidR="00054CDE" w:rsidRPr="00165E84" w:rsidRDefault="00054CDE" w:rsidP="004844F6">
      <w:pPr>
        <w:pStyle w:val="Heading2"/>
      </w:pPr>
      <w:bookmarkStart w:id="9" w:name="_Toc54021160"/>
      <w:r>
        <w:t>Impact of the pandemic on Canada’s private broadcasting system</w:t>
      </w:r>
      <w:bookmarkEnd w:id="9"/>
    </w:p>
    <w:p w14:paraId="6C1DD13C" w14:textId="6FCAE48E" w:rsidR="00054CDE" w:rsidRDefault="00054CDE" w:rsidP="002B134F">
      <w:pPr>
        <w:pStyle w:val="FRPCintPara"/>
      </w:pPr>
      <w:r w:rsidRPr="002F3F8D">
        <w:t xml:space="preserve">Like every other </w:t>
      </w:r>
      <w:r>
        <w:t>sector</w:t>
      </w:r>
      <w:r w:rsidRPr="002F3F8D">
        <w:t xml:space="preserve"> of the economy, Canada’s broadcasting sector has suffered.</w:t>
      </w:r>
      <w:r>
        <w:t xml:space="preserve"> On 24 March 2020 the Canadian Association of Broadcasters (CAB), which represents many of Canada’s privately owned radio and television programming services, informed the Federal Cabinet Ministers and the CRTC’s Chairperson that broadcasters’ advertising revenues had decreased by 20% or more, and that it expected further decreases in the order of 50% to 75%.</w:t>
      </w:r>
      <w:r>
        <w:rPr>
          <w:rStyle w:val="EndnoteReference"/>
          <w:rFonts w:cs="Calibri"/>
        </w:rPr>
        <w:endnoteReference w:id="12"/>
      </w:r>
      <w:r>
        <w:t xml:space="preserve"> (CAB’s application does not identify the basis of these decreases – month to month, year to year.) It proposed nine measures to avoid station closures, the loss of local media presence and increased unemployment, including the suspension of broadcast licence fees.</w:t>
      </w:r>
      <w:r>
        <w:rPr>
          <w:rStyle w:val="EndnoteReference"/>
        </w:rPr>
        <w:endnoteReference w:id="13"/>
      </w:r>
      <w:r>
        <w:t xml:space="preserve"> </w:t>
      </w:r>
    </w:p>
    <w:p w14:paraId="0F7D1B26" w14:textId="351A3523" w:rsidR="00054CDE" w:rsidRDefault="00054CDE" w:rsidP="002B134F">
      <w:pPr>
        <w:pStyle w:val="FRPCintPara"/>
      </w:pPr>
      <w:r>
        <w:t>The CAB’s July 2020 application does not set out clear estimates of the overall impact of the pandemi</w:t>
      </w:r>
      <w:r w:rsidR="00E27A7F">
        <w:t>c</w:t>
      </w:r>
      <w:r>
        <w:t>.  It notes that private radio advertising decreased 56.9% from May 2020 to June 2020 while private TV advertising decreased 50.4% from April 2020 to May 2020, and notes that CAB’s members have reported reduced “advertising bookings for the first quarter of the 2020-2021 broadcast year”.</w:t>
      </w:r>
      <w:r>
        <w:rPr>
          <w:rStyle w:val="EndnoteReference"/>
        </w:rPr>
        <w:endnoteReference w:id="14"/>
      </w:r>
      <w:r>
        <w:t xml:space="preserve"> </w:t>
      </w:r>
    </w:p>
    <w:p w14:paraId="19E0675E" w14:textId="29E3AD9F" w:rsidR="00054CDE" w:rsidRDefault="00054CDE" w:rsidP="002B134F">
      <w:pPr>
        <w:pStyle w:val="FRPCintPara"/>
      </w:pPr>
      <w:r>
        <w:t>CAB then also says that private local broadcasters have continued operating deficits of approximately $50 million per month.</w:t>
      </w:r>
      <w:r>
        <w:rPr>
          <w:rStyle w:val="EndnoteReference"/>
        </w:rPr>
        <w:endnoteReference w:id="15"/>
      </w:r>
      <w:r>
        <w:t xml:space="preserve">  </w:t>
      </w:r>
      <w:r w:rsidR="00E27A7F">
        <w:t>An</w:t>
      </w:r>
      <w:r>
        <w:t xml:space="preserve"> August 2020 report posted on the CAB’s website projects advertising revenue losses of $538 million for private radio and $527 million for private TV (or $1,065 million in total) from 2020-2022.</w:t>
      </w:r>
      <w:r>
        <w:rPr>
          <w:rStyle w:val="EndnoteReference"/>
        </w:rPr>
        <w:endnoteReference w:id="16"/>
      </w:r>
    </w:p>
    <w:p w14:paraId="3A04B342" w14:textId="42CA4F2E" w:rsidR="00054CDE" w:rsidRDefault="00054CDE" w:rsidP="002B134F">
      <w:pPr>
        <w:pStyle w:val="FRPCintPara"/>
      </w:pPr>
      <w:r>
        <w:t xml:space="preserve">As it somewhat unclear what losses CAB is projecting for 2021/21 the Forum reviewed the CRTC’s 2018/19 financial summaries.  They show that </w:t>
      </w:r>
      <w:r w:rsidR="00E27A7F">
        <w:t xml:space="preserve">on average </w:t>
      </w:r>
      <w:r>
        <w:t xml:space="preserve">private radio stations earned $121 million in advertising revenues per month, while private television stations earned </w:t>
      </w:r>
      <w:r w:rsidR="00E27A7F">
        <w:t>o</w:t>
      </w:r>
      <w:r>
        <w:t xml:space="preserve">n average $110 million per month:  </w:t>
      </w:r>
      <w:r w:rsidR="00622849">
        <w:fldChar w:fldCharType="begin"/>
      </w:r>
      <w:r w:rsidR="00622849">
        <w:instrText xml:space="preserve"> REF _Ref53917151 \h </w:instrText>
      </w:r>
      <w:r w:rsidR="00622849">
        <w:fldChar w:fldCharType="separate"/>
      </w:r>
      <w:r w:rsidR="00A74C32">
        <w:t xml:space="preserve">Table </w:t>
      </w:r>
      <w:r w:rsidR="00A74C32">
        <w:rPr>
          <w:noProof/>
        </w:rPr>
        <w:t>2</w:t>
      </w:r>
      <w:r w:rsidR="00622849">
        <w:fldChar w:fldCharType="end"/>
      </w:r>
      <w:r>
        <w:fldChar w:fldCharType="begin"/>
      </w:r>
      <w:r>
        <w:instrText xml:space="preserve"> REF _Ref53842235 \h </w:instrText>
      </w:r>
      <w:r>
        <w:fldChar w:fldCharType="separate"/>
      </w:r>
      <w:r w:rsidR="00A74C32">
        <w:rPr>
          <w:b/>
          <w:bCs/>
          <w:lang w:val="en-US"/>
        </w:rPr>
        <w:t>Error! Reference source not found.</w:t>
      </w:r>
      <w:r>
        <w:fldChar w:fldCharType="end"/>
      </w:r>
      <w:r>
        <w:t xml:space="preserve">.  </w:t>
      </w:r>
    </w:p>
    <w:p w14:paraId="615DAE1C" w14:textId="5D921FC6" w:rsidR="00054CDE" w:rsidRDefault="00054CDE" w:rsidP="00E27A7F">
      <w:pPr>
        <w:pStyle w:val="Caption"/>
        <w:keepNext/>
      </w:pPr>
      <w:bookmarkStart w:id="10" w:name="_Ref53917151"/>
      <w:bookmarkStart w:id="11" w:name="_Toc54017095"/>
      <w:r>
        <w:lastRenderedPageBreak/>
        <w:t xml:space="preserve">Table </w:t>
      </w:r>
      <w:fldSimple w:instr=" SEQ Table \* ARABIC ">
        <w:r w:rsidR="00A74C32">
          <w:rPr>
            <w:noProof/>
          </w:rPr>
          <w:t>2</w:t>
        </w:r>
      </w:fldSimple>
      <w:bookmarkEnd w:id="10"/>
      <w:r>
        <w:tab/>
        <w:t>Private radio and television stations’ revenues in 2018/19</w:t>
      </w:r>
      <w:bookmarkEnd w:id="11"/>
    </w:p>
    <w:tbl>
      <w:tblPr>
        <w:tblW w:w="9085" w:type="dxa"/>
        <w:tblLook w:val="04A0" w:firstRow="1" w:lastRow="0" w:firstColumn="1" w:lastColumn="0" w:noHBand="0" w:noVBand="1"/>
      </w:tblPr>
      <w:tblGrid>
        <w:gridCol w:w="3881"/>
        <w:gridCol w:w="1572"/>
        <w:gridCol w:w="957"/>
        <w:gridCol w:w="1572"/>
        <w:gridCol w:w="1103"/>
      </w:tblGrid>
      <w:tr w:rsidR="00054CDE" w:rsidRPr="00E27A7F" w14:paraId="7CEAA1DA" w14:textId="77777777" w:rsidTr="00E27A7F">
        <w:trPr>
          <w:trHeight w:val="20"/>
        </w:trPr>
        <w:tc>
          <w:tcPr>
            <w:tcW w:w="3881" w:type="dxa"/>
            <w:tcBorders>
              <w:top w:val="single" w:sz="4" w:space="0" w:color="auto"/>
              <w:bottom w:val="single" w:sz="4" w:space="0" w:color="auto"/>
              <w:right w:val="single" w:sz="4" w:space="0" w:color="auto"/>
            </w:tcBorders>
            <w:noWrap/>
          </w:tcPr>
          <w:p w14:paraId="61ED5EC8" w14:textId="77777777" w:rsidR="00054CDE" w:rsidRPr="00E27A7F" w:rsidRDefault="00054CDE" w:rsidP="00E27A7F">
            <w:pPr>
              <w:pStyle w:val="Table"/>
              <w:keepNext/>
              <w:rPr>
                <w:b/>
                <w:bCs/>
                <w:sz w:val="20"/>
                <w:szCs w:val="20"/>
              </w:rPr>
            </w:pPr>
            <w:r w:rsidRPr="00E27A7F">
              <w:rPr>
                <w:b/>
                <w:bCs/>
                <w:sz w:val="20"/>
                <w:szCs w:val="20"/>
              </w:rPr>
              <w:t>Revenue – 2018/19 broadcast year</w:t>
            </w:r>
          </w:p>
        </w:tc>
        <w:tc>
          <w:tcPr>
            <w:tcW w:w="1532" w:type="dxa"/>
            <w:tcBorders>
              <w:top w:val="single" w:sz="4" w:space="0" w:color="auto"/>
              <w:left w:val="single" w:sz="4" w:space="0" w:color="auto"/>
              <w:bottom w:val="single" w:sz="4" w:space="0" w:color="auto"/>
              <w:right w:val="single" w:sz="4" w:space="0" w:color="auto"/>
            </w:tcBorders>
            <w:shd w:val="clear" w:color="FFFFFF" w:fill="FFFFFF"/>
            <w:vAlign w:val="bottom"/>
          </w:tcPr>
          <w:p w14:paraId="6A5A0D19" w14:textId="77777777" w:rsidR="00054CDE" w:rsidRPr="00E27A7F" w:rsidRDefault="00054CDE" w:rsidP="00E27A7F">
            <w:pPr>
              <w:pStyle w:val="Table"/>
              <w:keepNext/>
              <w:rPr>
                <w:b/>
                <w:bCs/>
                <w:sz w:val="20"/>
                <w:szCs w:val="20"/>
              </w:rPr>
            </w:pPr>
            <w:r w:rsidRPr="00E27A7F">
              <w:rPr>
                <w:b/>
                <w:bCs/>
                <w:sz w:val="20"/>
                <w:szCs w:val="20"/>
              </w:rPr>
              <w:t>Radio</w:t>
            </w:r>
          </w:p>
        </w:tc>
        <w:tc>
          <w:tcPr>
            <w:tcW w:w="957" w:type="dxa"/>
            <w:tcBorders>
              <w:top w:val="single" w:sz="4" w:space="0" w:color="auto"/>
              <w:left w:val="single" w:sz="4" w:space="0" w:color="auto"/>
              <w:bottom w:val="single" w:sz="4" w:space="0" w:color="auto"/>
              <w:right w:val="single" w:sz="4" w:space="0" w:color="auto"/>
            </w:tcBorders>
            <w:shd w:val="clear" w:color="FFFFFF" w:fill="auto"/>
            <w:vAlign w:val="bottom"/>
          </w:tcPr>
          <w:p w14:paraId="1BB56E3F" w14:textId="77777777" w:rsidR="00054CDE" w:rsidRPr="00E27A7F" w:rsidRDefault="00054CDE" w:rsidP="00E27A7F">
            <w:pPr>
              <w:pStyle w:val="Table"/>
              <w:keepNext/>
              <w:rPr>
                <w:b/>
                <w:bCs/>
                <w:sz w:val="20"/>
                <w:szCs w:val="20"/>
              </w:rPr>
            </w:pPr>
            <w:r w:rsidRPr="00E27A7F">
              <w:rPr>
                <w:b/>
                <w:bCs/>
                <w:sz w:val="20"/>
                <w:szCs w:val="20"/>
              </w:rPr>
              <w:t>%</w:t>
            </w:r>
          </w:p>
        </w:tc>
        <w:tc>
          <w:tcPr>
            <w:tcW w:w="1490" w:type="dxa"/>
            <w:tcBorders>
              <w:top w:val="single" w:sz="4" w:space="0" w:color="auto"/>
              <w:left w:val="single" w:sz="4" w:space="0" w:color="auto"/>
              <w:bottom w:val="single" w:sz="4" w:space="0" w:color="auto"/>
              <w:right w:val="single" w:sz="4" w:space="0" w:color="auto"/>
            </w:tcBorders>
            <w:shd w:val="clear" w:color="FFFFFF" w:fill="FFFFFF"/>
            <w:vAlign w:val="bottom"/>
          </w:tcPr>
          <w:p w14:paraId="1A532B86" w14:textId="77777777" w:rsidR="00054CDE" w:rsidRPr="00E27A7F" w:rsidRDefault="00054CDE" w:rsidP="00E27A7F">
            <w:pPr>
              <w:pStyle w:val="Table"/>
              <w:keepNext/>
              <w:rPr>
                <w:b/>
                <w:bCs/>
                <w:sz w:val="20"/>
                <w:szCs w:val="20"/>
              </w:rPr>
            </w:pPr>
            <w:r w:rsidRPr="00E27A7F">
              <w:rPr>
                <w:b/>
                <w:bCs/>
                <w:sz w:val="20"/>
                <w:szCs w:val="20"/>
              </w:rPr>
              <w:t>TV</w:t>
            </w:r>
          </w:p>
        </w:tc>
        <w:tc>
          <w:tcPr>
            <w:tcW w:w="1225" w:type="dxa"/>
            <w:tcBorders>
              <w:top w:val="single" w:sz="4" w:space="0" w:color="auto"/>
              <w:left w:val="single" w:sz="4" w:space="0" w:color="auto"/>
              <w:bottom w:val="single" w:sz="4" w:space="0" w:color="auto"/>
            </w:tcBorders>
          </w:tcPr>
          <w:p w14:paraId="03B975D8" w14:textId="77777777" w:rsidR="00054CDE" w:rsidRPr="00E27A7F" w:rsidRDefault="00054CDE" w:rsidP="00E27A7F">
            <w:pPr>
              <w:pStyle w:val="Table"/>
              <w:keepNext/>
              <w:rPr>
                <w:b/>
                <w:bCs/>
                <w:sz w:val="20"/>
                <w:szCs w:val="20"/>
              </w:rPr>
            </w:pPr>
            <w:r w:rsidRPr="00E27A7F">
              <w:rPr>
                <w:b/>
                <w:bCs/>
                <w:sz w:val="20"/>
                <w:szCs w:val="20"/>
              </w:rPr>
              <w:t>%</w:t>
            </w:r>
          </w:p>
        </w:tc>
      </w:tr>
      <w:tr w:rsidR="00054CDE" w:rsidRPr="00E27A7F" w14:paraId="599C37FC" w14:textId="77777777" w:rsidTr="00E27A7F">
        <w:trPr>
          <w:trHeight w:val="20"/>
        </w:trPr>
        <w:tc>
          <w:tcPr>
            <w:tcW w:w="3881" w:type="dxa"/>
            <w:tcBorders>
              <w:top w:val="single" w:sz="4" w:space="0" w:color="auto"/>
              <w:bottom w:val="single" w:sz="4" w:space="0" w:color="auto"/>
              <w:right w:val="single" w:sz="4" w:space="0" w:color="auto"/>
            </w:tcBorders>
            <w:noWrap/>
            <w:hideMark/>
          </w:tcPr>
          <w:p w14:paraId="505025D9" w14:textId="77777777" w:rsidR="00054CDE" w:rsidRPr="00E27A7F" w:rsidRDefault="00054CDE" w:rsidP="00B019E3">
            <w:pPr>
              <w:pStyle w:val="Table"/>
              <w:rPr>
                <w:sz w:val="20"/>
                <w:szCs w:val="20"/>
              </w:rPr>
            </w:pPr>
            <w:r w:rsidRPr="00E27A7F">
              <w:rPr>
                <w:sz w:val="20"/>
                <w:szCs w:val="20"/>
              </w:rPr>
              <w:t>Local Time Sales</w:t>
            </w:r>
          </w:p>
        </w:tc>
        <w:tc>
          <w:tcPr>
            <w:tcW w:w="1532" w:type="dxa"/>
            <w:tcBorders>
              <w:top w:val="single" w:sz="4" w:space="0" w:color="auto"/>
              <w:left w:val="single" w:sz="4" w:space="0" w:color="auto"/>
              <w:bottom w:val="single" w:sz="4" w:space="0" w:color="auto"/>
              <w:right w:val="single" w:sz="4" w:space="0" w:color="auto"/>
            </w:tcBorders>
            <w:shd w:val="clear" w:color="FFFFFF" w:fill="FFFFFF"/>
            <w:vAlign w:val="bottom"/>
          </w:tcPr>
          <w:p w14:paraId="2DC8E733" w14:textId="1D77287D" w:rsidR="00054CDE" w:rsidRPr="00E27A7F" w:rsidRDefault="00E27A7F" w:rsidP="00B019E3">
            <w:pPr>
              <w:pStyle w:val="Table"/>
              <w:jc w:val="right"/>
              <w:rPr>
                <w:sz w:val="20"/>
                <w:szCs w:val="20"/>
              </w:rPr>
            </w:pPr>
            <w:r>
              <w:rPr>
                <w:sz w:val="20"/>
                <w:szCs w:val="20"/>
              </w:rPr>
              <w:t>$</w:t>
            </w:r>
            <w:r w:rsidR="00054CDE" w:rsidRPr="00E27A7F">
              <w:rPr>
                <w:sz w:val="20"/>
                <w:szCs w:val="20"/>
              </w:rPr>
              <w:t>934,744,367</w:t>
            </w:r>
          </w:p>
        </w:tc>
        <w:tc>
          <w:tcPr>
            <w:tcW w:w="957" w:type="dxa"/>
            <w:tcBorders>
              <w:top w:val="single" w:sz="4" w:space="0" w:color="auto"/>
              <w:left w:val="single" w:sz="4" w:space="0" w:color="auto"/>
              <w:bottom w:val="single" w:sz="4" w:space="0" w:color="auto"/>
              <w:right w:val="single" w:sz="4" w:space="0" w:color="auto"/>
            </w:tcBorders>
            <w:shd w:val="clear" w:color="FFFFFF" w:fill="auto"/>
            <w:vAlign w:val="bottom"/>
          </w:tcPr>
          <w:p w14:paraId="0F5A628D" w14:textId="77777777" w:rsidR="00054CDE" w:rsidRPr="00E27A7F" w:rsidRDefault="00054CDE" w:rsidP="00B019E3">
            <w:pPr>
              <w:pStyle w:val="Table"/>
              <w:jc w:val="right"/>
              <w:rPr>
                <w:sz w:val="20"/>
                <w:szCs w:val="20"/>
              </w:rPr>
            </w:pPr>
            <w:r w:rsidRPr="00E27A7F">
              <w:rPr>
                <w:sz w:val="20"/>
                <w:szCs w:val="20"/>
              </w:rPr>
              <w:t>64.3%</w:t>
            </w:r>
          </w:p>
        </w:tc>
        <w:tc>
          <w:tcPr>
            <w:tcW w:w="1490" w:type="dxa"/>
            <w:tcBorders>
              <w:top w:val="single" w:sz="4" w:space="0" w:color="auto"/>
              <w:left w:val="single" w:sz="4" w:space="0" w:color="auto"/>
              <w:bottom w:val="single" w:sz="4" w:space="0" w:color="auto"/>
              <w:right w:val="single" w:sz="4" w:space="0" w:color="auto"/>
            </w:tcBorders>
            <w:shd w:val="clear" w:color="FFFFFF" w:fill="FFFFFF"/>
            <w:vAlign w:val="bottom"/>
          </w:tcPr>
          <w:p w14:paraId="19837897" w14:textId="7F590C16" w:rsidR="00054CDE" w:rsidRPr="00E27A7F" w:rsidRDefault="00E27A7F" w:rsidP="00B019E3">
            <w:pPr>
              <w:pStyle w:val="Table"/>
              <w:jc w:val="right"/>
              <w:rPr>
                <w:sz w:val="20"/>
                <w:szCs w:val="20"/>
              </w:rPr>
            </w:pPr>
            <w:r>
              <w:rPr>
                <w:sz w:val="20"/>
                <w:szCs w:val="20"/>
              </w:rPr>
              <w:t>$</w:t>
            </w:r>
            <w:r w:rsidR="00054CDE" w:rsidRPr="00E27A7F">
              <w:rPr>
                <w:sz w:val="20"/>
                <w:szCs w:val="20"/>
              </w:rPr>
              <w:t>273,144,871</w:t>
            </w:r>
          </w:p>
        </w:tc>
        <w:tc>
          <w:tcPr>
            <w:tcW w:w="1225" w:type="dxa"/>
            <w:tcBorders>
              <w:top w:val="single" w:sz="4" w:space="0" w:color="auto"/>
              <w:left w:val="single" w:sz="4" w:space="0" w:color="auto"/>
              <w:bottom w:val="single" w:sz="4" w:space="0" w:color="auto"/>
            </w:tcBorders>
            <w:vAlign w:val="bottom"/>
          </w:tcPr>
          <w:p w14:paraId="63B609A0" w14:textId="77777777" w:rsidR="00054CDE" w:rsidRPr="00E27A7F" w:rsidRDefault="00054CDE" w:rsidP="00B019E3">
            <w:pPr>
              <w:pStyle w:val="Table"/>
              <w:jc w:val="right"/>
              <w:rPr>
                <w:sz w:val="20"/>
                <w:szCs w:val="20"/>
              </w:rPr>
            </w:pPr>
            <w:r w:rsidRPr="00E27A7F">
              <w:rPr>
                <w:sz w:val="20"/>
                <w:szCs w:val="20"/>
              </w:rPr>
              <w:t>17.6%</w:t>
            </w:r>
          </w:p>
        </w:tc>
      </w:tr>
      <w:tr w:rsidR="00054CDE" w:rsidRPr="00E27A7F" w14:paraId="183BE851" w14:textId="77777777" w:rsidTr="00E27A7F">
        <w:trPr>
          <w:trHeight w:val="20"/>
        </w:trPr>
        <w:tc>
          <w:tcPr>
            <w:tcW w:w="3881" w:type="dxa"/>
            <w:tcBorders>
              <w:top w:val="single" w:sz="4" w:space="0" w:color="auto"/>
              <w:bottom w:val="single" w:sz="4" w:space="0" w:color="auto"/>
              <w:right w:val="single" w:sz="4" w:space="0" w:color="auto"/>
            </w:tcBorders>
            <w:noWrap/>
            <w:hideMark/>
          </w:tcPr>
          <w:p w14:paraId="591C97DC" w14:textId="77777777" w:rsidR="00054CDE" w:rsidRPr="00E27A7F" w:rsidRDefault="00054CDE" w:rsidP="00B019E3">
            <w:pPr>
              <w:pStyle w:val="Table"/>
              <w:rPr>
                <w:sz w:val="20"/>
                <w:szCs w:val="20"/>
              </w:rPr>
            </w:pPr>
            <w:r w:rsidRPr="00E27A7F">
              <w:rPr>
                <w:sz w:val="20"/>
                <w:szCs w:val="20"/>
              </w:rPr>
              <w:t>National Time Sales</w:t>
            </w:r>
          </w:p>
        </w:tc>
        <w:tc>
          <w:tcPr>
            <w:tcW w:w="1532" w:type="dxa"/>
            <w:tcBorders>
              <w:top w:val="single" w:sz="4" w:space="0" w:color="auto"/>
              <w:left w:val="single" w:sz="4" w:space="0" w:color="auto"/>
              <w:bottom w:val="single" w:sz="4" w:space="0" w:color="auto"/>
              <w:right w:val="single" w:sz="4" w:space="0" w:color="auto"/>
            </w:tcBorders>
            <w:shd w:val="clear" w:color="FFFFFF" w:fill="FFFFFF"/>
            <w:vAlign w:val="bottom"/>
          </w:tcPr>
          <w:p w14:paraId="38FAC08B" w14:textId="77777777" w:rsidR="00054CDE" w:rsidRPr="00E27A7F" w:rsidRDefault="00054CDE" w:rsidP="00B019E3">
            <w:pPr>
              <w:pStyle w:val="Table"/>
              <w:jc w:val="right"/>
              <w:rPr>
                <w:sz w:val="20"/>
                <w:szCs w:val="20"/>
              </w:rPr>
            </w:pPr>
            <w:r w:rsidRPr="00E27A7F">
              <w:rPr>
                <w:sz w:val="20"/>
                <w:szCs w:val="20"/>
              </w:rPr>
              <w:t>494,180,738</w:t>
            </w:r>
          </w:p>
        </w:tc>
        <w:tc>
          <w:tcPr>
            <w:tcW w:w="957" w:type="dxa"/>
            <w:tcBorders>
              <w:top w:val="single" w:sz="4" w:space="0" w:color="auto"/>
              <w:left w:val="single" w:sz="4" w:space="0" w:color="auto"/>
              <w:bottom w:val="single" w:sz="4" w:space="0" w:color="auto"/>
              <w:right w:val="single" w:sz="4" w:space="0" w:color="auto"/>
            </w:tcBorders>
            <w:shd w:val="clear" w:color="FFFFFF" w:fill="auto"/>
            <w:vAlign w:val="bottom"/>
          </w:tcPr>
          <w:p w14:paraId="06B96460" w14:textId="77777777" w:rsidR="00054CDE" w:rsidRPr="00E27A7F" w:rsidRDefault="00054CDE" w:rsidP="00B019E3">
            <w:pPr>
              <w:pStyle w:val="Table"/>
              <w:jc w:val="right"/>
              <w:rPr>
                <w:sz w:val="20"/>
                <w:szCs w:val="20"/>
              </w:rPr>
            </w:pPr>
            <w:r w:rsidRPr="00E27A7F">
              <w:rPr>
                <w:sz w:val="20"/>
                <w:szCs w:val="20"/>
              </w:rPr>
              <w:t>34.0%</w:t>
            </w:r>
          </w:p>
        </w:tc>
        <w:tc>
          <w:tcPr>
            <w:tcW w:w="1490" w:type="dxa"/>
            <w:tcBorders>
              <w:top w:val="single" w:sz="4" w:space="0" w:color="auto"/>
              <w:left w:val="single" w:sz="4" w:space="0" w:color="auto"/>
              <w:bottom w:val="single" w:sz="4" w:space="0" w:color="auto"/>
              <w:right w:val="single" w:sz="4" w:space="0" w:color="auto"/>
            </w:tcBorders>
            <w:shd w:val="clear" w:color="FFFFFF" w:fill="FFFFFF"/>
            <w:vAlign w:val="bottom"/>
          </w:tcPr>
          <w:p w14:paraId="114C5C1E" w14:textId="77777777" w:rsidR="00054CDE" w:rsidRPr="00E27A7F" w:rsidRDefault="00054CDE" w:rsidP="00B019E3">
            <w:pPr>
              <w:pStyle w:val="Table"/>
              <w:jc w:val="right"/>
              <w:rPr>
                <w:sz w:val="20"/>
                <w:szCs w:val="20"/>
              </w:rPr>
            </w:pPr>
            <w:r w:rsidRPr="00E27A7F">
              <w:rPr>
                <w:sz w:val="20"/>
                <w:szCs w:val="20"/>
              </w:rPr>
              <w:t>1,048,719,581</w:t>
            </w:r>
          </w:p>
        </w:tc>
        <w:tc>
          <w:tcPr>
            <w:tcW w:w="1225" w:type="dxa"/>
            <w:tcBorders>
              <w:top w:val="single" w:sz="4" w:space="0" w:color="auto"/>
              <w:left w:val="single" w:sz="4" w:space="0" w:color="auto"/>
              <w:bottom w:val="single" w:sz="4" w:space="0" w:color="auto"/>
              <w:right w:val="single" w:sz="4" w:space="0" w:color="auto"/>
            </w:tcBorders>
            <w:shd w:val="clear" w:color="FFFFFF" w:fill="auto"/>
            <w:vAlign w:val="bottom"/>
          </w:tcPr>
          <w:p w14:paraId="3976A8F1" w14:textId="77777777" w:rsidR="00054CDE" w:rsidRPr="00E27A7F" w:rsidRDefault="00054CDE" w:rsidP="00B019E3">
            <w:pPr>
              <w:pStyle w:val="Table"/>
              <w:jc w:val="right"/>
              <w:rPr>
                <w:sz w:val="20"/>
                <w:szCs w:val="20"/>
              </w:rPr>
            </w:pPr>
            <w:r w:rsidRPr="00E27A7F">
              <w:rPr>
                <w:sz w:val="20"/>
                <w:szCs w:val="20"/>
              </w:rPr>
              <w:t>67.5%</w:t>
            </w:r>
          </w:p>
        </w:tc>
      </w:tr>
      <w:tr w:rsidR="00054CDE" w:rsidRPr="00E27A7F" w14:paraId="132D0971" w14:textId="77777777" w:rsidTr="00E27A7F">
        <w:trPr>
          <w:trHeight w:val="20"/>
        </w:trPr>
        <w:tc>
          <w:tcPr>
            <w:tcW w:w="3881" w:type="dxa"/>
            <w:tcBorders>
              <w:top w:val="single" w:sz="4" w:space="0" w:color="auto"/>
              <w:bottom w:val="single" w:sz="4" w:space="0" w:color="auto"/>
              <w:right w:val="single" w:sz="4" w:space="0" w:color="auto"/>
            </w:tcBorders>
            <w:noWrap/>
          </w:tcPr>
          <w:p w14:paraId="4D4C18D5" w14:textId="77777777" w:rsidR="00054CDE" w:rsidRPr="00E27A7F" w:rsidRDefault="00054CDE" w:rsidP="00B019E3">
            <w:pPr>
              <w:pStyle w:val="Table"/>
              <w:rPr>
                <w:sz w:val="20"/>
                <w:szCs w:val="20"/>
              </w:rPr>
            </w:pPr>
            <w:r w:rsidRPr="00E27A7F">
              <w:rPr>
                <w:sz w:val="20"/>
                <w:szCs w:val="20"/>
              </w:rPr>
              <w:t xml:space="preserve">      Subtotal, advertising revenue</w:t>
            </w:r>
          </w:p>
        </w:tc>
        <w:tc>
          <w:tcPr>
            <w:tcW w:w="1532" w:type="dxa"/>
            <w:tcBorders>
              <w:top w:val="single" w:sz="4" w:space="0" w:color="auto"/>
              <w:left w:val="single" w:sz="4" w:space="0" w:color="auto"/>
              <w:bottom w:val="single" w:sz="4" w:space="0" w:color="auto"/>
              <w:right w:val="single" w:sz="4" w:space="0" w:color="auto"/>
            </w:tcBorders>
            <w:shd w:val="clear" w:color="FFFFFF" w:fill="FFFFFF"/>
            <w:vAlign w:val="bottom"/>
          </w:tcPr>
          <w:p w14:paraId="7B618010" w14:textId="77777777" w:rsidR="00054CDE" w:rsidRPr="00E27A7F" w:rsidRDefault="00054CDE" w:rsidP="00B019E3">
            <w:pPr>
              <w:pStyle w:val="Table"/>
              <w:jc w:val="right"/>
              <w:rPr>
                <w:sz w:val="20"/>
                <w:szCs w:val="20"/>
              </w:rPr>
            </w:pPr>
            <w:r w:rsidRPr="00E27A7F">
              <w:rPr>
                <w:sz w:val="20"/>
                <w:szCs w:val="20"/>
              </w:rPr>
              <w:t>1,453,009,974</w:t>
            </w:r>
          </w:p>
        </w:tc>
        <w:tc>
          <w:tcPr>
            <w:tcW w:w="957" w:type="dxa"/>
            <w:tcBorders>
              <w:top w:val="single" w:sz="4" w:space="0" w:color="auto"/>
              <w:left w:val="single" w:sz="4" w:space="0" w:color="auto"/>
              <w:bottom w:val="single" w:sz="4" w:space="0" w:color="auto"/>
              <w:right w:val="single" w:sz="4" w:space="0" w:color="auto"/>
            </w:tcBorders>
            <w:shd w:val="clear" w:color="FFFFFF" w:fill="auto"/>
            <w:vAlign w:val="bottom"/>
          </w:tcPr>
          <w:p w14:paraId="667ADA19" w14:textId="77777777" w:rsidR="00054CDE" w:rsidRPr="00E27A7F" w:rsidRDefault="00054CDE" w:rsidP="00B019E3">
            <w:pPr>
              <w:pStyle w:val="Table"/>
              <w:jc w:val="right"/>
              <w:rPr>
                <w:sz w:val="20"/>
                <w:szCs w:val="20"/>
              </w:rPr>
            </w:pPr>
            <w:r w:rsidRPr="00E27A7F">
              <w:rPr>
                <w:sz w:val="20"/>
                <w:szCs w:val="20"/>
              </w:rPr>
              <w:t>98.3%</w:t>
            </w:r>
          </w:p>
        </w:tc>
        <w:tc>
          <w:tcPr>
            <w:tcW w:w="1490" w:type="dxa"/>
            <w:tcBorders>
              <w:top w:val="single" w:sz="4" w:space="0" w:color="auto"/>
              <w:left w:val="single" w:sz="4" w:space="0" w:color="auto"/>
              <w:bottom w:val="single" w:sz="4" w:space="0" w:color="auto"/>
              <w:right w:val="single" w:sz="4" w:space="0" w:color="auto"/>
            </w:tcBorders>
            <w:shd w:val="clear" w:color="FFFFFF" w:fill="FFFFFF"/>
            <w:vAlign w:val="bottom"/>
          </w:tcPr>
          <w:p w14:paraId="120DEDB1" w14:textId="77777777" w:rsidR="00054CDE" w:rsidRPr="00E27A7F" w:rsidRDefault="00054CDE" w:rsidP="00B019E3">
            <w:pPr>
              <w:pStyle w:val="Table"/>
              <w:jc w:val="right"/>
              <w:rPr>
                <w:sz w:val="20"/>
                <w:szCs w:val="20"/>
              </w:rPr>
            </w:pPr>
            <w:r w:rsidRPr="00E27A7F">
              <w:rPr>
                <w:sz w:val="20"/>
                <w:szCs w:val="20"/>
              </w:rPr>
              <w:t>1,321,864,452</w:t>
            </w:r>
          </w:p>
        </w:tc>
        <w:tc>
          <w:tcPr>
            <w:tcW w:w="1225" w:type="dxa"/>
            <w:tcBorders>
              <w:top w:val="single" w:sz="4" w:space="0" w:color="auto"/>
              <w:left w:val="single" w:sz="4" w:space="0" w:color="auto"/>
              <w:bottom w:val="single" w:sz="4" w:space="0" w:color="auto"/>
              <w:right w:val="single" w:sz="4" w:space="0" w:color="auto"/>
            </w:tcBorders>
            <w:shd w:val="clear" w:color="FFFFFF" w:fill="auto"/>
            <w:vAlign w:val="bottom"/>
          </w:tcPr>
          <w:p w14:paraId="3B645566" w14:textId="77777777" w:rsidR="00054CDE" w:rsidRPr="00E27A7F" w:rsidRDefault="00054CDE" w:rsidP="00B019E3">
            <w:pPr>
              <w:pStyle w:val="Table"/>
              <w:jc w:val="right"/>
              <w:rPr>
                <w:sz w:val="20"/>
                <w:szCs w:val="20"/>
              </w:rPr>
            </w:pPr>
            <w:r w:rsidRPr="00E27A7F">
              <w:rPr>
                <w:sz w:val="20"/>
                <w:szCs w:val="20"/>
              </w:rPr>
              <w:t>85.1%</w:t>
            </w:r>
          </w:p>
        </w:tc>
      </w:tr>
      <w:tr w:rsidR="00054CDE" w:rsidRPr="00E27A7F" w14:paraId="345B050A" w14:textId="77777777" w:rsidTr="00E27A7F">
        <w:trPr>
          <w:trHeight w:val="20"/>
        </w:trPr>
        <w:tc>
          <w:tcPr>
            <w:tcW w:w="3881" w:type="dxa"/>
            <w:tcBorders>
              <w:top w:val="single" w:sz="4" w:space="0" w:color="auto"/>
              <w:bottom w:val="single" w:sz="4" w:space="0" w:color="auto"/>
              <w:right w:val="single" w:sz="4" w:space="0" w:color="auto"/>
            </w:tcBorders>
            <w:noWrap/>
          </w:tcPr>
          <w:p w14:paraId="41CFF04B" w14:textId="77777777" w:rsidR="00054CDE" w:rsidRPr="00E27A7F" w:rsidRDefault="00054CDE" w:rsidP="00B019E3">
            <w:pPr>
              <w:pStyle w:val="Table"/>
              <w:rPr>
                <w:sz w:val="20"/>
                <w:szCs w:val="20"/>
              </w:rPr>
            </w:pPr>
            <w:r w:rsidRPr="00E27A7F">
              <w:rPr>
                <w:sz w:val="20"/>
                <w:szCs w:val="20"/>
              </w:rPr>
              <w:t>Ad revenue - average per month</w:t>
            </w:r>
          </w:p>
        </w:tc>
        <w:tc>
          <w:tcPr>
            <w:tcW w:w="1532" w:type="dxa"/>
            <w:tcBorders>
              <w:top w:val="single" w:sz="4" w:space="0" w:color="auto"/>
              <w:left w:val="single" w:sz="4" w:space="0" w:color="auto"/>
              <w:bottom w:val="single" w:sz="4" w:space="0" w:color="auto"/>
              <w:right w:val="single" w:sz="4" w:space="0" w:color="auto"/>
            </w:tcBorders>
            <w:shd w:val="clear" w:color="FFFFFF" w:fill="FFFFFF"/>
            <w:vAlign w:val="bottom"/>
          </w:tcPr>
          <w:p w14:paraId="61424895" w14:textId="77777777" w:rsidR="00054CDE" w:rsidRPr="00E27A7F" w:rsidRDefault="00054CDE" w:rsidP="00B019E3">
            <w:pPr>
              <w:pStyle w:val="Table"/>
              <w:jc w:val="right"/>
              <w:rPr>
                <w:sz w:val="20"/>
                <w:szCs w:val="20"/>
              </w:rPr>
            </w:pPr>
            <w:r w:rsidRPr="00E27A7F">
              <w:rPr>
                <w:sz w:val="20"/>
                <w:szCs w:val="20"/>
              </w:rPr>
              <w:t>$121,084,164</w:t>
            </w:r>
          </w:p>
        </w:tc>
        <w:tc>
          <w:tcPr>
            <w:tcW w:w="957" w:type="dxa"/>
            <w:tcBorders>
              <w:top w:val="single" w:sz="4" w:space="0" w:color="auto"/>
              <w:left w:val="single" w:sz="4" w:space="0" w:color="auto"/>
              <w:bottom w:val="single" w:sz="4" w:space="0" w:color="auto"/>
              <w:right w:val="single" w:sz="4" w:space="0" w:color="auto"/>
            </w:tcBorders>
            <w:shd w:val="clear" w:color="FFFFFF" w:fill="auto"/>
            <w:vAlign w:val="bottom"/>
          </w:tcPr>
          <w:p w14:paraId="46E76614" w14:textId="77777777" w:rsidR="00054CDE" w:rsidRPr="00E27A7F" w:rsidRDefault="00054CDE" w:rsidP="00B019E3">
            <w:pPr>
              <w:pStyle w:val="Table"/>
              <w:jc w:val="right"/>
              <w:rPr>
                <w:sz w:val="20"/>
                <w:szCs w:val="20"/>
              </w:rPr>
            </w:pPr>
          </w:p>
        </w:tc>
        <w:tc>
          <w:tcPr>
            <w:tcW w:w="1490" w:type="dxa"/>
            <w:tcBorders>
              <w:top w:val="single" w:sz="4" w:space="0" w:color="auto"/>
              <w:left w:val="single" w:sz="4" w:space="0" w:color="auto"/>
              <w:bottom w:val="single" w:sz="4" w:space="0" w:color="auto"/>
              <w:right w:val="single" w:sz="4" w:space="0" w:color="auto"/>
            </w:tcBorders>
            <w:shd w:val="clear" w:color="FFFFFF" w:fill="FFFFFF"/>
            <w:vAlign w:val="bottom"/>
          </w:tcPr>
          <w:p w14:paraId="3643E0F6" w14:textId="77777777" w:rsidR="00054CDE" w:rsidRPr="00E27A7F" w:rsidRDefault="00054CDE" w:rsidP="00B019E3">
            <w:pPr>
              <w:pStyle w:val="Table"/>
              <w:jc w:val="right"/>
              <w:rPr>
                <w:sz w:val="20"/>
                <w:szCs w:val="20"/>
              </w:rPr>
            </w:pPr>
            <w:r w:rsidRPr="00E27A7F">
              <w:rPr>
                <w:sz w:val="20"/>
                <w:szCs w:val="20"/>
              </w:rPr>
              <w:t>$110,155,371</w:t>
            </w:r>
          </w:p>
        </w:tc>
        <w:tc>
          <w:tcPr>
            <w:tcW w:w="1225" w:type="dxa"/>
            <w:tcBorders>
              <w:top w:val="single" w:sz="4" w:space="0" w:color="auto"/>
              <w:left w:val="single" w:sz="4" w:space="0" w:color="auto"/>
              <w:bottom w:val="single" w:sz="4" w:space="0" w:color="auto"/>
              <w:right w:val="single" w:sz="4" w:space="0" w:color="auto"/>
            </w:tcBorders>
            <w:shd w:val="clear" w:color="FFFFFF" w:fill="auto"/>
            <w:vAlign w:val="bottom"/>
          </w:tcPr>
          <w:p w14:paraId="651A1315" w14:textId="77777777" w:rsidR="00054CDE" w:rsidRPr="00E27A7F" w:rsidRDefault="00054CDE" w:rsidP="00B019E3">
            <w:pPr>
              <w:pStyle w:val="Table"/>
              <w:jc w:val="right"/>
              <w:rPr>
                <w:sz w:val="20"/>
                <w:szCs w:val="20"/>
              </w:rPr>
            </w:pPr>
          </w:p>
        </w:tc>
      </w:tr>
      <w:tr w:rsidR="00054CDE" w:rsidRPr="00E27A7F" w14:paraId="295F48FC" w14:textId="77777777" w:rsidTr="00E27A7F">
        <w:trPr>
          <w:trHeight w:val="20"/>
        </w:trPr>
        <w:tc>
          <w:tcPr>
            <w:tcW w:w="3881" w:type="dxa"/>
            <w:tcBorders>
              <w:top w:val="single" w:sz="4" w:space="0" w:color="auto"/>
              <w:bottom w:val="single" w:sz="4" w:space="0" w:color="auto"/>
              <w:right w:val="single" w:sz="4" w:space="0" w:color="auto"/>
            </w:tcBorders>
            <w:noWrap/>
          </w:tcPr>
          <w:p w14:paraId="22DD2681" w14:textId="77777777" w:rsidR="00054CDE" w:rsidRPr="00E27A7F" w:rsidRDefault="00054CDE" w:rsidP="00B019E3">
            <w:pPr>
              <w:pStyle w:val="Table"/>
              <w:rPr>
                <w:sz w:val="20"/>
                <w:szCs w:val="20"/>
              </w:rPr>
            </w:pPr>
            <w:r w:rsidRPr="00E27A7F">
              <w:rPr>
                <w:sz w:val="20"/>
                <w:szCs w:val="20"/>
              </w:rPr>
              <w:t>Network payments</w:t>
            </w:r>
          </w:p>
        </w:tc>
        <w:tc>
          <w:tcPr>
            <w:tcW w:w="153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tcPr>
          <w:p w14:paraId="191ADC7C" w14:textId="77777777" w:rsidR="00054CDE" w:rsidRPr="00E27A7F" w:rsidRDefault="00054CDE" w:rsidP="00B019E3">
            <w:pPr>
              <w:pStyle w:val="Table"/>
              <w:jc w:val="right"/>
              <w:rPr>
                <w:sz w:val="20"/>
                <w:szCs w:val="20"/>
              </w:rPr>
            </w:pPr>
          </w:p>
        </w:tc>
        <w:tc>
          <w:tcPr>
            <w:tcW w:w="9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tcPr>
          <w:p w14:paraId="36894EAC" w14:textId="77777777" w:rsidR="00054CDE" w:rsidRPr="00E27A7F" w:rsidRDefault="00054CDE" w:rsidP="00B019E3">
            <w:pPr>
              <w:pStyle w:val="Table"/>
              <w:jc w:val="right"/>
              <w:rPr>
                <w:sz w:val="20"/>
                <w:szCs w:val="20"/>
              </w:rPr>
            </w:pPr>
          </w:p>
        </w:tc>
        <w:tc>
          <w:tcPr>
            <w:tcW w:w="1490" w:type="dxa"/>
            <w:tcBorders>
              <w:top w:val="single" w:sz="4" w:space="0" w:color="auto"/>
              <w:left w:val="single" w:sz="4" w:space="0" w:color="auto"/>
              <w:bottom w:val="single" w:sz="4" w:space="0" w:color="auto"/>
              <w:right w:val="single" w:sz="4" w:space="0" w:color="auto"/>
            </w:tcBorders>
            <w:shd w:val="clear" w:color="FFFFFF" w:fill="FFFFFF"/>
            <w:vAlign w:val="bottom"/>
          </w:tcPr>
          <w:p w14:paraId="4C9BFD37" w14:textId="77777777" w:rsidR="00054CDE" w:rsidRPr="00E27A7F" w:rsidRDefault="00054CDE" w:rsidP="00B019E3">
            <w:pPr>
              <w:pStyle w:val="Table"/>
              <w:jc w:val="right"/>
              <w:rPr>
                <w:sz w:val="20"/>
                <w:szCs w:val="20"/>
              </w:rPr>
            </w:pPr>
            <w:r w:rsidRPr="00E27A7F">
              <w:rPr>
                <w:sz w:val="20"/>
                <w:szCs w:val="20"/>
              </w:rPr>
              <w:t>109,382,942</w:t>
            </w:r>
          </w:p>
        </w:tc>
        <w:tc>
          <w:tcPr>
            <w:tcW w:w="1225" w:type="dxa"/>
            <w:tcBorders>
              <w:top w:val="single" w:sz="4" w:space="0" w:color="auto"/>
              <w:left w:val="single" w:sz="4" w:space="0" w:color="auto"/>
              <w:bottom w:val="single" w:sz="4" w:space="0" w:color="auto"/>
              <w:right w:val="single" w:sz="4" w:space="0" w:color="auto"/>
            </w:tcBorders>
            <w:shd w:val="clear" w:color="FFFFFF" w:fill="auto"/>
            <w:vAlign w:val="bottom"/>
          </w:tcPr>
          <w:p w14:paraId="174E13EE" w14:textId="77777777" w:rsidR="00054CDE" w:rsidRPr="00E27A7F" w:rsidRDefault="00054CDE" w:rsidP="00B019E3">
            <w:pPr>
              <w:pStyle w:val="Table"/>
              <w:jc w:val="right"/>
              <w:rPr>
                <w:sz w:val="20"/>
                <w:szCs w:val="20"/>
              </w:rPr>
            </w:pPr>
            <w:r w:rsidRPr="00E27A7F">
              <w:rPr>
                <w:sz w:val="20"/>
                <w:szCs w:val="20"/>
              </w:rPr>
              <w:t>7.0%</w:t>
            </w:r>
          </w:p>
        </w:tc>
      </w:tr>
      <w:tr w:rsidR="00054CDE" w:rsidRPr="00E27A7F" w14:paraId="25344C07" w14:textId="77777777" w:rsidTr="00E27A7F">
        <w:trPr>
          <w:trHeight w:val="20"/>
        </w:trPr>
        <w:tc>
          <w:tcPr>
            <w:tcW w:w="3881" w:type="dxa"/>
            <w:tcBorders>
              <w:top w:val="single" w:sz="4" w:space="0" w:color="auto"/>
              <w:bottom w:val="single" w:sz="4" w:space="0" w:color="auto"/>
              <w:right w:val="single" w:sz="4" w:space="0" w:color="auto"/>
            </w:tcBorders>
            <w:noWrap/>
          </w:tcPr>
          <w:p w14:paraId="477FB5E0" w14:textId="77777777" w:rsidR="00054CDE" w:rsidRPr="00E27A7F" w:rsidRDefault="00054CDE" w:rsidP="00B019E3">
            <w:pPr>
              <w:pStyle w:val="Table"/>
              <w:rPr>
                <w:sz w:val="20"/>
                <w:szCs w:val="20"/>
              </w:rPr>
            </w:pPr>
            <w:r w:rsidRPr="00E27A7F">
              <w:rPr>
                <w:sz w:val="20"/>
                <w:szCs w:val="20"/>
              </w:rPr>
              <w:t>Infomercials</w:t>
            </w:r>
          </w:p>
        </w:tc>
        <w:tc>
          <w:tcPr>
            <w:tcW w:w="153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tcPr>
          <w:p w14:paraId="09713369" w14:textId="77777777" w:rsidR="00054CDE" w:rsidRPr="00E27A7F" w:rsidRDefault="00054CDE" w:rsidP="00B019E3">
            <w:pPr>
              <w:pStyle w:val="Table"/>
              <w:jc w:val="right"/>
              <w:rPr>
                <w:sz w:val="20"/>
                <w:szCs w:val="20"/>
              </w:rPr>
            </w:pPr>
          </w:p>
        </w:tc>
        <w:tc>
          <w:tcPr>
            <w:tcW w:w="9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tcPr>
          <w:p w14:paraId="56CDFF3C" w14:textId="77777777" w:rsidR="00054CDE" w:rsidRPr="00E27A7F" w:rsidRDefault="00054CDE" w:rsidP="00B019E3">
            <w:pPr>
              <w:pStyle w:val="Table"/>
              <w:jc w:val="right"/>
              <w:rPr>
                <w:sz w:val="20"/>
                <w:szCs w:val="20"/>
              </w:rPr>
            </w:pPr>
          </w:p>
        </w:tc>
        <w:tc>
          <w:tcPr>
            <w:tcW w:w="1490" w:type="dxa"/>
            <w:tcBorders>
              <w:top w:val="single" w:sz="4" w:space="0" w:color="auto"/>
              <w:left w:val="single" w:sz="4" w:space="0" w:color="auto"/>
              <w:bottom w:val="single" w:sz="4" w:space="0" w:color="auto"/>
              <w:right w:val="single" w:sz="4" w:space="0" w:color="auto"/>
            </w:tcBorders>
            <w:shd w:val="clear" w:color="FFFFFF" w:fill="FFFFFF"/>
            <w:vAlign w:val="bottom"/>
          </w:tcPr>
          <w:p w14:paraId="37C59490" w14:textId="77777777" w:rsidR="00054CDE" w:rsidRPr="00E27A7F" w:rsidRDefault="00054CDE" w:rsidP="00B019E3">
            <w:pPr>
              <w:pStyle w:val="Table"/>
              <w:jc w:val="right"/>
              <w:rPr>
                <w:sz w:val="20"/>
                <w:szCs w:val="20"/>
              </w:rPr>
            </w:pPr>
            <w:r w:rsidRPr="00E27A7F">
              <w:rPr>
                <w:sz w:val="20"/>
                <w:szCs w:val="20"/>
              </w:rPr>
              <w:t>13,685,583</w:t>
            </w:r>
          </w:p>
        </w:tc>
        <w:tc>
          <w:tcPr>
            <w:tcW w:w="1225" w:type="dxa"/>
            <w:tcBorders>
              <w:top w:val="single" w:sz="4" w:space="0" w:color="auto"/>
              <w:left w:val="single" w:sz="4" w:space="0" w:color="auto"/>
              <w:bottom w:val="single" w:sz="4" w:space="0" w:color="auto"/>
              <w:right w:val="single" w:sz="4" w:space="0" w:color="auto"/>
            </w:tcBorders>
            <w:shd w:val="clear" w:color="FFFFFF" w:fill="auto"/>
            <w:vAlign w:val="bottom"/>
          </w:tcPr>
          <w:p w14:paraId="31E12424" w14:textId="77777777" w:rsidR="00054CDE" w:rsidRPr="00E27A7F" w:rsidRDefault="00054CDE" w:rsidP="00B019E3">
            <w:pPr>
              <w:pStyle w:val="Table"/>
              <w:jc w:val="right"/>
              <w:rPr>
                <w:sz w:val="20"/>
                <w:szCs w:val="20"/>
              </w:rPr>
            </w:pPr>
            <w:r w:rsidRPr="00E27A7F">
              <w:rPr>
                <w:sz w:val="20"/>
                <w:szCs w:val="20"/>
              </w:rPr>
              <w:t>0.9%</w:t>
            </w:r>
          </w:p>
        </w:tc>
      </w:tr>
      <w:tr w:rsidR="00054CDE" w:rsidRPr="00E27A7F" w14:paraId="7017EA27" w14:textId="77777777" w:rsidTr="00E27A7F">
        <w:trPr>
          <w:trHeight w:val="20"/>
        </w:trPr>
        <w:tc>
          <w:tcPr>
            <w:tcW w:w="3881" w:type="dxa"/>
            <w:tcBorders>
              <w:top w:val="single" w:sz="4" w:space="0" w:color="auto"/>
              <w:bottom w:val="single" w:sz="4" w:space="0" w:color="auto"/>
              <w:right w:val="single" w:sz="4" w:space="0" w:color="auto"/>
            </w:tcBorders>
            <w:noWrap/>
            <w:hideMark/>
          </w:tcPr>
          <w:p w14:paraId="62555EF0" w14:textId="77777777" w:rsidR="00054CDE" w:rsidRPr="00E27A7F" w:rsidRDefault="00054CDE" w:rsidP="00B019E3">
            <w:pPr>
              <w:pStyle w:val="Table"/>
              <w:rPr>
                <w:sz w:val="20"/>
                <w:szCs w:val="20"/>
              </w:rPr>
            </w:pPr>
            <w:r w:rsidRPr="00E27A7F">
              <w:rPr>
                <w:sz w:val="20"/>
                <w:szCs w:val="20"/>
              </w:rPr>
              <w:t>Syndication-Production</w:t>
            </w:r>
          </w:p>
        </w:tc>
        <w:tc>
          <w:tcPr>
            <w:tcW w:w="1532" w:type="dxa"/>
            <w:tcBorders>
              <w:top w:val="single" w:sz="4" w:space="0" w:color="auto"/>
              <w:left w:val="single" w:sz="4" w:space="0" w:color="auto"/>
              <w:bottom w:val="single" w:sz="4" w:space="0" w:color="auto"/>
              <w:right w:val="single" w:sz="4" w:space="0" w:color="auto"/>
            </w:tcBorders>
            <w:shd w:val="clear" w:color="FFFFFF" w:fill="FFFFFF"/>
            <w:vAlign w:val="bottom"/>
          </w:tcPr>
          <w:p w14:paraId="00281873" w14:textId="77777777" w:rsidR="00054CDE" w:rsidRPr="00E27A7F" w:rsidRDefault="00054CDE" w:rsidP="00B019E3">
            <w:pPr>
              <w:pStyle w:val="Table"/>
              <w:jc w:val="right"/>
              <w:rPr>
                <w:sz w:val="20"/>
                <w:szCs w:val="20"/>
              </w:rPr>
            </w:pPr>
            <w:r w:rsidRPr="00E27A7F">
              <w:rPr>
                <w:sz w:val="20"/>
                <w:szCs w:val="20"/>
              </w:rPr>
              <w:t>7,141,287</w:t>
            </w:r>
          </w:p>
        </w:tc>
        <w:tc>
          <w:tcPr>
            <w:tcW w:w="957" w:type="dxa"/>
            <w:tcBorders>
              <w:top w:val="single" w:sz="4" w:space="0" w:color="auto"/>
              <w:left w:val="single" w:sz="4" w:space="0" w:color="auto"/>
              <w:bottom w:val="single" w:sz="4" w:space="0" w:color="auto"/>
              <w:right w:val="single" w:sz="4" w:space="0" w:color="auto"/>
            </w:tcBorders>
            <w:shd w:val="clear" w:color="FFFFFF" w:fill="auto"/>
            <w:vAlign w:val="bottom"/>
          </w:tcPr>
          <w:p w14:paraId="1D3E9F8A" w14:textId="77777777" w:rsidR="00054CDE" w:rsidRPr="00E27A7F" w:rsidRDefault="00054CDE" w:rsidP="00B019E3">
            <w:pPr>
              <w:pStyle w:val="Table"/>
              <w:jc w:val="right"/>
              <w:rPr>
                <w:sz w:val="20"/>
                <w:szCs w:val="20"/>
              </w:rPr>
            </w:pPr>
            <w:r w:rsidRPr="00E27A7F">
              <w:rPr>
                <w:sz w:val="20"/>
                <w:szCs w:val="20"/>
              </w:rPr>
              <w:t>0.5%</w:t>
            </w:r>
          </w:p>
        </w:tc>
        <w:tc>
          <w:tcPr>
            <w:tcW w:w="1490" w:type="dxa"/>
            <w:tcBorders>
              <w:top w:val="single" w:sz="4" w:space="0" w:color="auto"/>
              <w:left w:val="single" w:sz="4" w:space="0" w:color="auto"/>
              <w:bottom w:val="single" w:sz="4" w:space="0" w:color="auto"/>
              <w:right w:val="single" w:sz="4" w:space="0" w:color="auto"/>
            </w:tcBorders>
            <w:shd w:val="clear" w:color="FFFFFF" w:fill="FFFFFF"/>
            <w:vAlign w:val="bottom"/>
          </w:tcPr>
          <w:p w14:paraId="067B279C" w14:textId="77777777" w:rsidR="00054CDE" w:rsidRPr="00E27A7F" w:rsidRDefault="00054CDE" w:rsidP="00B019E3">
            <w:pPr>
              <w:pStyle w:val="Table"/>
              <w:jc w:val="right"/>
              <w:rPr>
                <w:sz w:val="20"/>
                <w:szCs w:val="20"/>
              </w:rPr>
            </w:pPr>
            <w:r w:rsidRPr="00E27A7F">
              <w:rPr>
                <w:sz w:val="20"/>
                <w:szCs w:val="20"/>
              </w:rPr>
              <w:t>5,928,990</w:t>
            </w:r>
          </w:p>
        </w:tc>
        <w:tc>
          <w:tcPr>
            <w:tcW w:w="1225" w:type="dxa"/>
            <w:tcBorders>
              <w:top w:val="single" w:sz="4" w:space="0" w:color="auto"/>
              <w:left w:val="single" w:sz="4" w:space="0" w:color="auto"/>
              <w:bottom w:val="single" w:sz="4" w:space="0" w:color="auto"/>
              <w:right w:val="single" w:sz="4" w:space="0" w:color="auto"/>
            </w:tcBorders>
            <w:shd w:val="clear" w:color="FFFFFF" w:fill="auto"/>
            <w:vAlign w:val="bottom"/>
          </w:tcPr>
          <w:p w14:paraId="3DAB4F8F" w14:textId="77777777" w:rsidR="00054CDE" w:rsidRPr="00E27A7F" w:rsidRDefault="00054CDE" w:rsidP="00B019E3">
            <w:pPr>
              <w:pStyle w:val="Table"/>
              <w:jc w:val="right"/>
              <w:rPr>
                <w:sz w:val="20"/>
                <w:szCs w:val="20"/>
              </w:rPr>
            </w:pPr>
            <w:r w:rsidRPr="00E27A7F">
              <w:rPr>
                <w:sz w:val="20"/>
                <w:szCs w:val="20"/>
              </w:rPr>
              <w:t>0.4%</w:t>
            </w:r>
          </w:p>
        </w:tc>
      </w:tr>
      <w:tr w:rsidR="00054CDE" w:rsidRPr="00E27A7F" w14:paraId="7D6ED776" w14:textId="77777777" w:rsidTr="00E27A7F">
        <w:trPr>
          <w:trHeight w:val="20"/>
        </w:trPr>
        <w:tc>
          <w:tcPr>
            <w:tcW w:w="3881" w:type="dxa"/>
            <w:tcBorders>
              <w:top w:val="single" w:sz="4" w:space="0" w:color="auto"/>
              <w:bottom w:val="single" w:sz="4" w:space="0" w:color="auto"/>
              <w:right w:val="single" w:sz="4" w:space="0" w:color="auto"/>
            </w:tcBorders>
            <w:noWrap/>
          </w:tcPr>
          <w:p w14:paraId="607EC5C3" w14:textId="77777777" w:rsidR="00054CDE" w:rsidRPr="00E27A7F" w:rsidRDefault="00054CDE" w:rsidP="00B019E3">
            <w:pPr>
              <w:pStyle w:val="Table"/>
              <w:rPr>
                <w:sz w:val="20"/>
                <w:szCs w:val="20"/>
              </w:rPr>
            </w:pPr>
            <w:r w:rsidRPr="00E27A7F">
              <w:rPr>
                <w:sz w:val="20"/>
                <w:szCs w:val="20"/>
              </w:rPr>
              <w:t>Independent Local News Fund</w:t>
            </w:r>
          </w:p>
        </w:tc>
        <w:tc>
          <w:tcPr>
            <w:tcW w:w="153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tcPr>
          <w:p w14:paraId="7A75C3BF" w14:textId="77777777" w:rsidR="00054CDE" w:rsidRPr="00E27A7F" w:rsidRDefault="00054CDE" w:rsidP="00B019E3">
            <w:pPr>
              <w:pStyle w:val="Table"/>
              <w:jc w:val="right"/>
              <w:rPr>
                <w:sz w:val="20"/>
                <w:szCs w:val="20"/>
              </w:rPr>
            </w:pPr>
          </w:p>
        </w:tc>
        <w:tc>
          <w:tcPr>
            <w:tcW w:w="9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tcPr>
          <w:p w14:paraId="12E36489" w14:textId="77777777" w:rsidR="00054CDE" w:rsidRPr="00E27A7F" w:rsidRDefault="00054CDE" w:rsidP="00B019E3">
            <w:pPr>
              <w:pStyle w:val="Table"/>
              <w:jc w:val="right"/>
              <w:rPr>
                <w:sz w:val="20"/>
                <w:szCs w:val="20"/>
              </w:rPr>
            </w:pPr>
          </w:p>
        </w:tc>
        <w:tc>
          <w:tcPr>
            <w:tcW w:w="1490" w:type="dxa"/>
            <w:tcBorders>
              <w:top w:val="single" w:sz="4" w:space="0" w:color="auto"/>
              <w:left w:val="single" w:sz="4" w:space="0" w:color="auto"/>
              <w:bottom w:val="single" w:sz="4" w:space="0" w:color="auto"/>
              <w:right w:val="single" w:sz="4" w:space="0" w:color="auto"/>
            </w:tcBorders>
            <w:shd w:val="clear" w:color="FFFFFF" w:fill="FFFFFF"/>
            <w:vAlign w:val="bottom"/>
          </w:tcPr>
          <w:p w14:paraId="38948FD8" w14:textId="77777777" w:rsidR="00054CDE" w:rsidRPr="00E27A7F" w:rsidRDefault="00054CDE" w:rsidP="00B019E3">
            <w:pPr>
              <w:pStyle w:val="Table"/>
              <w:jc w:val="right"/>
              <w:rPr>
                <w:sz w:val="20"/>
                <w:szCs w:val="20"/>
              </w:rPr>
            </w:pPr>
            <w:r w:rsidRPr="00E27A7F">
              <w:rPr>
                <w:sz w:val="20"/>
                <w:szCs w:val="20"/>
              </w:rPr>
              <w:t>21,216,219</w:t>
            </w:r>
          </w:p>
        </w:tc>
        <w:tc>
          <w:tcPr>
            <w:tcW w:w="1225" w:type="dxa"/>
            <w:tcBorders>
              <w:top w:val="single" w:sz="4" w:space="0" w:color="auto"/>
              <w:left w:val="single" w:sz="4" w:space="0" w:color="auto"/>
              <w:bottom w:val="single" w:sz="4" w:space="0" w:color="auto"/>
              <w:right w:val="single" w:sz="4" w:space="0" w:color="auto"/>
            </w:tcBorders>
            <w:shd w:val="clear" w:color="FFFFFF" w:fill="auto"/>
            <w:vAlign w:val="bottom"/>
          </w:tcPr>
          <w:p w14:paraId="365F3486" w14:textId="77777777" w:rsidR="00054CDE" w:rsidRPr="00E27A7F" w:rsidRDefault="00054CDE" w:rsidP="00B019E3">
            <w:pPr>
              <w:pStyle w:val="Table"/>
              <w:jc w:val="right"/>
              <w:rPr>
                <w:sz w:val="20"/>
                <w:szCs w:val="20"/>
              </w:rPr>
            </w:pPr>
            <w:r w:rsidRPr="00E27A7F">
              <w:rPr>
                <w:sz w:val="20"/>
                <w:szCs w:val="20"/>
              </w:rPr>
              <w:t>1.4%</w:t>
            </w:r>
          </w:p>
        </w:tc>
      </w:tr>
      <w:tr w:rsidR="00054CDE" w:rsidRPr="00E27A7F" w14:paraId="0D27114D" w14:textId="77777777" w:rsidTr="00E27A7F">
        <w:trPr>
          <w:trHeight w:val="20"/>
        </w:trPr>
        <w:tc>
          <w:tcPr>
            <w:tcW w:w="3881" w:type="dxa"/>
            <w:tcBorders>
              <w:top w:val="single" w:sz="4" w:space="0" w:color="auto"/>
              <w:bottom w:val="single" w:sz="4" w:space="0" w:color="auto"/>
              <w:right w:val="single" w:sz="4" w:space="0" w:color="auto"/>
            </w:tcBorders>
            <w:noWrap/>
            <w:hideMark/>
          </w:tcPr>
          <w:p w14:paraId="204CC174" w14:textId="77777777" w:rsidR="00054CDE" w:rsidRPr="00E27A7F" w:rsidRDefault="00054CDE" w:rsidP="00B019E3">
            <w:pPr>
              <w:pStyle w:val="Table"/>
              <w:rPr>
                <w:sz w:val="20"/>
                <w:szCs w:val="20"/>
              </w:rPr>
            </w:pPr>
            <w:r w:rsidRPr="00E27A7F">
              <w:rPr>
                <w:sz w:val="20"/>
                <w:szCs w:val="20"/>
              </w:rPr>
              <w:t>Government/Corporate Grants</w:t>
            </w:r>
          </w:p>
        </w:tc>
        <w:tc>
          <w:tcPr>
            <w:tcW w:w="1532" w:type="dxa"/>
            <w:tcBorders>
              <w:top w:val="single" w:sz="4" w:space="0" w:color="auto"/>
              <w:left w:val="single" w:sz="4" w:space="0" w:color="auto"/>
              <w:bottom w:val="single" w:sz="4" w:space="0" w:color="auto"/>
              <w:right w:val="single" w:sz="4" w:space="0" w:color="auto"/>
            </w:tcBorders>
            <w:shd w:val="clear" w:color="FFFFFF" w:fill="FFFFFF"/>
            <w:vAlign w:val="bottom"/>
          </w:tcPr>
          <w:p w14:paraId="3BA65515" w14:textId="77777777" w:rsidR="00054CDE" w:rsidRPr="00E27A7F" w:rsidRDefault="00054CDE" w:rsidP="00B019E3">
            <w:pPr>
              <w:pStyle w:val="Table"/>
              <w:jc w:val="right"/>
              <w:rPr>
                <w:sz w:val="20"/>
                <w:szCs w:val="20"/>
              </w:rPr>
            </w:pPr>
            <w:r w:rsidRPr="00E27A7F">
              <w:rPr>
                <w:sz w:val="20"/>
                <w:szCs w:val="20"/>
              </w:rPr>
              <w:t>4,514,543</w:t>
            </w:r>
          </w:p>
        </w:tc>
        <w:tc>
          <w:tcPr>
            <w:tcW w:w="957" w:type="dxa"/>
            <w:tcBorders>
              <w:top w:val="single" w:sz="4" w:space="0" w:color="auto"/>
              <w:left w:val="single" w:sz="4" w:space="0" w:color="auto"/>
              <w:bottom w:val="single" w:sz="4" w:space="0" w:color="auto"/>
              <w:right w:val="single" w:sz="4" w:space="0" w:color="auto"/>
            </w:tcBorders>
            <w:shd w:val="clear" w:color="FFFFFF" w:fill="auto"/>
            <w:vAlign w:val="bottom"/>
          </w:tcPr>
          <w:p w14:paraId="771AED94" w14:textId="77777777" w:rsidR="00054CDE" w:rsidRPr="00E27A7F" w:rsidRDefault="00054CDE" w:rsidP="00B019E3">
            <w:pPr>
              <w:pStyle w:val="Table"/>
              <w:jc w:val="right"/>
              <w:rPr>
                <w:sz w:val="20"/>
                <w:szCs w:val="20"/>
              </w:rPr>
            </w:pPr>
            <w:r w:rsidRPr="00E27A7F">
              <w:rPr>
                <w:sz w:val="20"/>
                <w:szCs w:val="20"/>
              </w:rPr>
              <w:t>0.3%</w:t>
            </w:r>
          </w:p>
        </w:tc>
        <w:tc>
          <w:tcPr>
            <w:tcW w:w="1490" w:type="dxa"/>
            <w:tcBorders>
              <w:top w:val="single" w:sz="4" w:space="0" w:color="auto"/>
              <w:left w:val="single" w:sz="4" w:space="0" w:color="auto"/>
              <w:bottom w:val="single" w:sz="4" w:space="0" w:color="auto"/>
              <w:right w:val="single" w:sz="4" w:space="0" w:color="auto"/>
            </w:tcBorders>
            <w:shd w:val="clear" w:color="FFFFFF" w:fill="FFFFFF"/>
            <w:vAlign w:val="bottom"/>
          </w:tcPr>
          <w:p w14:paraId="5F1936A2" w14:textId="77777777" w:rsidR="00054CDE" w:rsidRPr="00E27A7F" w:rsidRDefault="00054CDE" w:rsidP="00B019E3">
            <w:pPr>
              <w:pStyle w:val="Table"/>
              <w:jc w:val="right"/>
              <w:rPr>
                <w:sz w:val="20"/>
                <w:szCs w:val="20"/>
              </w:rPr>
            </w:pPr>
            <w:r w:rsidRPr="00E27A7F">
              <w:rPr>
                <w:sz w:val="20"/>
                <w:szCs w:val="20"/>
              </w:rPr>
              <w:t>247,001</w:t>
            </w:r>
          </w:p>
        </w:tc>
        <w:tc>
          <w:tcPr>
            <w:tcW w:w="1225" w:type="dxa"/>
            <w:tcBorders>
              <w:top w:val="single" w:sz="4" w:space="0" w:color="auto"/>
              <w:left w:val="single" w:sz="4" w:space="0" w:color="auto"/>
              <w:bottom w:val="single" w:sz="4" w:space="0" w:color="auto"/>
              <w:right w:val="single" w:sz="4" w:space="0" w:color="auto"/>
            </w:tcBorders>
            <w:shd w:val="clear" w:color="FFFFFF" w:fill="auto"/>
            <w:vAlign w:val="bottom"/>
          </w:tcPr>
          <w:p w14:paraId="6551C608" w14:textId="77777777" w:rsidR="00054CDE" w:rsidRPr="00E27A7F" w:rsidRDefault="00054CDE" w:rsidP="00B019E3">
            <w:pPr>
              <w:pStyle w:val="Table"/>
              <w:jc w:val="right"/>
              <w:rPr>
                <w:sz w:val="20"/>
                <w:szCs w:val="20"/>
              </w:rPr>
            </w:pPr>
            <w:r w:rsidRPr="00E27A7F">
              <w:rPr>
                <w:sz w:val="20"/>
                <w:szCs w:val="20"/>
              </w:rPr>
              <w:t>0.0%</w:t>
            </w:r>
          </w:p>
        </w:tc>
      </w:tr>
      <w:tr w:rsidR="00054CDE" w:rsidRPr="00E27A7F" w14:paraId="50FDA377" w14:textId="77777777" w:rsidTr="00E27A7F">
        <w:trPr>
          <w:trHeight w:val="20"/>
        </w:trPr>
        <w:tc>
          <w:tcPr>
            <w:tcW w:w="3881" w:type="dxa"/>
            <w:tcBorders>
              <w:top w:val="single" w:sz="4" w:space="0" w:color="auto"/>
              <w:bottom w:val="single" w:sz="4" w:space="0" w:color="auto"/>
              <w:right w:val="single" w:sz="4" w:space="0" w:color="auto"/>
            </w:tcBorders>
            <w:noWrap/>
            <w:hideMark/>
          </w:tcPr>
          <w:p w14:paraId="2ECF7C22" w14:textId="77777777" w:rsidR="00054CDE" w:rsidRPr="00E27A7F" w:rsidRDefault="00054CDE" w:rsidP="00B019E3">
            <w:pPr>
              <w:pStyle w:val="Table"/>
              <w:rPr>
                <w:sz w:val="20"/>
                <w:szCs w:val="20"/>
              </w:rPr>
            </w:pPr>
            <w:r w:rsidRPr="00E27A7F">
              <w:rPr>
                <w:sz w:val="20"/>
                <w:szCs w:val="20"/>
              </w:rPr>
              <w:t>Other Revenue</w:t>
            </w:r>
          </w:p>
        </w:tc>
        <w:tc>
          <w:tcPr>
            <w:tcW w:w="1532" w:type="dxa"/>
            <w:tcBorders>
              <w:top w:val="single" w:sz="4" w:space="0" w:color="auto"/>
              <w:left w:val="single" w:sz="4" w:space="0" w:color="auto"/>
              <w:bottom w:val="single" w:sz="4" w:space="0" w:color="auto"/>
              <w:right w:val="single" w:sz="4" w:space="0" w:color="auto"/>
            </w:tcBorders>
            <w:shd w:val="clear" w:color="FFFFFF" w:fill="FFFFFF"/>
            <w:vAlign w:val="bottom"/>
          </w:tcPr>
          <w:p w14:paraId="68D9F0ED" w14:textId="77777777" w:rsidR="00054CDE" w:rsidRPr="00E27A7F" w:rsidRDefault="00054CDE" w:rsidP="00B019E3">
            <w:pPr>
              <w:pStyle w:val="Table"/>
              <w:jc w:val="right"/>
              <w:rPr>
                <w:sz w:val="20"/>
                <w:szCs w:val="20"/>
              </w:rPr>
            </w:pPr>
            <w:r w:rsidRPr="00E27A7F">
              <w:rPr>
                <w:sz w:val="20"/>
                <w:szCs w:val="20"/>
              </w:rPr>
              <w:t>12,429,039</w:t>
            </w:r>
          </w:p>
        </w:tc>
        <w:tc>
          <w:tcPr>
            <w:tcW w:w="957" w:type="dxa"/>
            <w:tcBorders>
              <w:top w:val="single" w:sz="4" w:space="0" w:color="auto"/>
              <w:left w:val="single" w:sz="4" w:space="0" w:color="auto"/>
              <w:bottom w:val="single" w:sz="4" w:space="0" w:color="auto"/>
              <w:right w:val="single" w:sz="4" w:space="0" w:color="auto"/>
            </w:tcBorders>
            <w:shd w:val="clear" w:color="FFFFFF" w:fill="auto"/>
            <w:vAlign w:val="bottom"/>
          </w:tcPr>
          <w:p w14:paraId="0BFCA65E" w14:textId="77777777" w:rsidR="00054CDE" w:rsidRPr="00E27A7F" w:rsidRDefault="00054CDE" w:rsidP="00B019E3">
            <w:pPr>
              <w:pStyle w:val="Table"/>
              <w:jc w:val="right"/>
              <w:rPr>
                <w:sz w:val="20"/>
                <w:szCs w:val="20"/>
              </w:rPr>
            </w:pPr>
            <w:r w:rsidRPr="00E27A7F">
              <w:rPr>
                <w:sz w:val="20"/>
                <w:szCs w:val="20"/>
              </w:rPr>
              <w:t>0.9%</w:t>
            </w:r>
          </w:p>
        </w:tc>
        <w:tc>
          <w:tcPr>
            <w:tcW w:w="1490" w:type="dxa"/>
            <w:tcBorders>
              <w:top w:val="single" w:sz="4" w:space="0" w:color="auto"/>
              <w:left w:val="single" w:sz="4" w:space="0" w:color="auto"/>
              <w:bottom w:val="single" w:sz="4" w:space="0" w:color="auto"/>
              <w:right w:val="single" w:sz="4" w:space="0" w:color="auto"/>
            </w:tcBorders>
            <w:shd w:val="clear" w:color="FFFFFF" w:fill="FFFFFF"/>
            <w:vAlign w:val="bottom"/>
          </w:tcPr>
          <w:p w14:paraId="768717B2" w14:textId="77777777" w:rsidR="00054CDE" w:rsidRPr="00E27A7F" w:rsidRDefault="00054CDE" w:rsidP="00B019E3">
            <w:pPr>
              <w:pStyle w:val="Table"/>
              <w:jc w:val="right"/>
              <w:rPr>
                <w:sz w:val="20"/>
                <w:szCs w:val="20"/>
              </w:rPr>
            </w:pPr>
            <w:r w:rsidRPr="00E27A7F">
              <w:rPr>
                <w:sz w:val="20"/>
                <w:szCs w:val="20"/>
              </w:rPr>
              <w:t>81,283,284</w:t>
            </w:r>
          </w:p>
        </w:tc>
        <w:tc>
          <w:tcPr>
            <w:tcW w:w="1225" w:type="dxa"/>
            <w:tcBorders>
              <w:top w:val="single" w:sz="4" w:space="0" w:color="auto"/>
              <w:left w:val="single" w:sz="4" w:space="0" w:color="auto"/>
              <w:bottom w:val="single" w:sz="4" w:space="0" w:color="auto"/>
              <w:right w:val="single" w:sz="4" w:space="0" w:color="auto"/>
            </w:tcBorders>
            <w:shd w:val="clear" w:color="FFFFFF" w:fill="auto"/>
            <w:vAlign w:val="bottom"/>
          </w:tcPr>
          <w:p w14:paraId="37A506AB" w14:textId="77777777" w:rsidR="00054CDE" w:rsidRPr="00E27A7F" w:rsidRDefault="00054CDE" w:rsidP="00B019E3">
            <w:pPr>
              <w:pStyle w:val="Table"/>
              <w:jc w:val="right"/>
              <w:rPr>
                <w:sz w:val="20"/>
                <w:szCs w:val="20"/>
              </w:rPr>
            </w:pPr>
            <w:r w:rsidRPr="00E27A7F">
              <w:rPr>
                <w:sz w:val="20"/>
                <w:szCs w:val="20"/>
              </w:rPr>
              <w:t>5.2%</w:t>
            </w:r>
          </w:p>
        </w:tc>
      </w:tr>
      <w:tr w:rsidR="00054CDE" w:rsidRPr="00E27A7F" w14:paraId="1F014601" w14:textId="77777777" w:rsidTr="00E27A7F">
        <w:trPr>
          <w:trHeight w:val="20"/>
        </w:trPr>
        <w:tc>
          <w:tcPr>
            <w:tcW w:w="3881" w:type="dxa"/>
            <w:tcBorders>
              <w:top w:val="single" w:sz="4" w:space="0" w:color="auto"/>
              <w:bottom w:val="single" w:sz="4" w:space="0" w:color="auto"/>
              <w:right w:val="single" w:sz="4" w:space="0" w:color="auto"/>
            </w:tcBorders>
            <w:noWrap/>
            <w:hideMark/>
          </w:tcPr>
          <w:p w14:paraId="2D74E1CD" w14:textId="77777777" w:rsidR="00054CDE" w:rsidRPr="00E27A7F" w:rsidRDefault="00054CDE" w:rsidP="00B019E3">
            <w:pPr>
              <w:pStyle w:val="Table"/>
              <w:rPr>
                <w:b/>
                <w:bCs/>
                <w:sz w:val="20"/>
                <w:szCs w:val="20"/>
              </w:rPr>
            </w:pPr>
            <w:r w:rsidRPr="00E27A7F">
              <w:rPr>
                <w:b/>
                <w:bCs/>
                <w:sz w:val="20"/>
                <w:szCs w:val="20"/>
              </w:rPr>
              <w:t>Total Revenue</w:t>
            </w:r>
          </w:p>
        </w:tc>
        <w:tc>
          <w:tcPr>
            <w:tcW w:w="1532" w:type="dxa"/>
            <w:tcBorders>
              <w:top w:val="single" w:sz="4" w:space="0" w:color="auto"/>
              <w:left w:val="single" w:sz="4" w:space="0" w:color="auto"/>
              <w:bottom w:val="single" w:sz="4" w:space="0" w:color="auto"/>
              <w:right w:val="single" w:sz="4" w:space="0" w:color="auto"/>
            </w:tcBorders>
            <w:shd w:val="clear" w:color="FFFFFF" w:fill="FFFFFF"/>
            <w:vAlign w:val="bottom"/>
          </w:tcPr>
          <w:p w14:paraId="78073994" w14:textId="1631AF8A" w:rsidR="00054CDE" w:rsidRPr="00E27A7F" w:rsidRDefault="00E27A7F" w:rsidP="00B019E3">
            <w:pPr>
              <w:pStyle w:val="Table"/>
              <w:jc w:val="right"/>
              <w:rPr>
                <w:b/>
                <w:bCs/>
                <w:sz w:val="20"/>
                <w:szCs w:val="20"/>
              </w:rPr>
            </w:pPr>
            <w:r>
              <w:rPr>
                <w:b/>
                <w:bCs/>
                <w:sz w:val="20"/>
                <w:szCs w:val="20"/>
              </w:rPr>
              <w:t>$</w:t>
            </w:r>
            <w:r w:rsidR="00054CDE" w:rsidRPr="00E27A7F">
              <w:rPr>
                <w:b/>
                <w:bCs/>
                <w:sz w:val="20"/>
                <w:szCs w:val="20"/>
              </w:rPr>
              <w:t>1,453,009,974</w:t>
            </w:r>
          </w:p>
        </w:tc>
        <w:tc>
          <w:tcPr>
            <w:tcW w:w="957" w:type="dxa"/>
            <w:tcBorders>
              <w:top w:val="single" w:sz="4" w:space="0" w:color="auto"/>
              <w:left w:val="single" w:sz="4" w:space="0" w:color="auto"/>
              <w:bottom w:val="single" w:sz="4" w:space="0" w:color="auto"/>
              <w:right w:val="single" w:sz="4" w:space="0" w:color="auto"/>
            </w:tcBorders>
            <w:shd w:val="clear" w:color="FFFFFF" w:fill="auto"/>
            <w:vAlign w:val="bottom"/>
          </w:tcPr>
          <w:p w14:paraId="4838E73D" w14:textId="77777777" w:rsidR="00054CDE" w:rsidRPr="00E27A7F" w:rsidRDefault="00054CDE" w:rsidP="00B019E3">
            <w:pPr>
              <w:pStyle w:val="Table"/>
              <w:jc w:val="right"/>
              <w:rPr>
                <w:b/>
                <w:bCs/>
                <w:sz w:val="20"/>
                <w:szCs w:val="20"/>
              </w:rPr>
            </w:pPr>
            <w:r w:rsidRPr="00E27A7F">
              <w:rPr>
                <w:b/>
                <w:bCs/>
                <w:sz w:val="20"/>
                <w:szCs w:val="20"/>
              </w:rPr>
              <w:t>100.0%</w:t>
            </w:r>
          </w:p>
        </w:tc>
        <w:tc>
          <w:tcPr>
            <w:tcW w:w="1490" w:type="dxa"/>
            <w:tcBorders>
              <w:top w:val="single" w:sz="4" w:space="0" w:color="auto"/>
              <w:left w:val="single" w:sz="4" w:space="0" w:color="auto"/>
              <w:bottom w:val="single" w:sz="4" w:space="0" w:color="auto"/>
              <w:right w:val="single" w:sz="4" w:space="0" w:color="auto"/>
            </w:tcBorders>
            <w:shd w:val="clear" w:color="FFFFFF" w:fill="FFFFFF"/>
            <w:vAlign w:val="bottom"/>
          </w:tcPr>
          <w:p w14:paraId="4A0BEE65" w14:textId="0B280B3E" w:rsidR="00054CDE" w:rsidRPr="00E27A7F" w:rsidRDefault="00E27A7F" w:rsidP="00B019E3">
            <w:pPr>
              <w:pStyle w:val="Table"/>
              <w:jc w:val="right"/>
              <w:rPr>
                <w:b/>
                <w:bCs/>
                <w:sz w:val="20"/>
                <w:szCs w:val="20"/>
              </w:rPr>
            </w:pPr>
            <w:r>
              <w:rPr>
                <w:b/>
                <w:bCs/>
                <w:sz w:val="20"/>
                <w:szCs w:val="20"/>
              </w:rPr>
              <w:t>$</w:t>
            </w:r>
            <w:r w:rsidR="00054CDE" w:rsidRPr="00E27A7F">
              <w:rPr>
                <w:b/>
                <w:bCs/>
                <w:sz w:val="20"/>
                <w:szCs w:val="20"/>
              </w:rPr>
              <w:t>1,553,608,471</w:t>
            </w:r>
          </w:p>
        </w:tc>
        <w:tc>
          <w:tcPr>
            <w:tcW w:w="1225" w:type="dxa"/>
            <w:tcBorders>
              <w:top w:val="single" w:sz="4" w:space="0" w:color="auto"/>
              <w:left w:val="single" w:sz="4" w:space="0" w:color="auto"/>
              <w:bottom w:val="single" w:sz="4" w:space="0" w:color="auto"/>
              <w:right w:val="single" w:sz="4" w:space="0" w:color="auto"/>
            </w:tcBorders>
            <w:shd w:val="clear" w:color="FFFFFF" w:fill="auto"/>
            <w:vAlign w:val="bottom"/>
          </w:tcPr>
          <w:p w14:paraId="46C56D5C" w14:textId="77777777" w:rsidR="00054CDE" w:rsidRPr="00E27A7F" w:rsidRDefault="00054CDE" w:rsidP="00B019E3">
            <w:pPr>
              <w:pStyle w:val="Table"/>
              <w:jc w:val="right"/>
              <w:rPr>
                <w:sz w:val="20"/>
                <w:szCs w:val="20"/>
              </w:rPr>
            </w:pPr>
            <w:r w:rsidRPr="00E27A7F">
              <w:rPr>
                <w:sz w:val="20"/>
                <w:szCs w:val="20"/>
              </w:rPr>
              <w:t>100.0%</w:t>
            </w:r>
          </w:p>
        </w:tc>
      </w:tr>
      <w:tr w:rsidR="00054CDE" w:rsidRPr="00E27A7F" w14:paraId="5C091A44" w14:textId="77777777" w:rsidTr="00E27A7F">
        <w:trPr>
          <w:trHeight w:val="20"/>
        </w:trPr>
        <w:tc>
          <w:tcPr>
            <w:tcW w:w="9085" w:type="dxa"/>
            <w:gridSpan w:val="5"/>
            <w:noWrap/>
          </w:tcPr>
          <w:p w14:paraId="0EE75734" w14:textId="77777777" w:rsidR="00054CDE" w:rsidRPr="00E27A7F" w:rsidRDefault="00054CDE" w:rsidP="00B019E3">
            <w:pPr>
              <w:pStyle w:val="Table"/>
              <w:rPr>
                <w:sz w:val="20"/>
                <w:szCs w:val="20"/>
              </w:rPr>
            </w:pPr>
            <w:r w:rsidRPr="00E27A7F">
              <w:rPr>
                <w:sz w:val="20"/>
                <w:szCs w:val="20"/>
              </w:rPr>
              <w:t>Source:  CRTC statistical and financial summaries</w:t>
            </w:r>
          </w:p>
        </w:tc>
      </w:tr>
    </w:tbl>
    <w:p w14:paraId="3F609D1C" w14:textId="46E9C2E1" w:rsidR="00054CDE" w:rsidRDefault="00054CDE" w:rsidP="001C6D45">
      <w:pPr>
        <w:pStyle w:val="FRPCintPara"/>
        <w:numPr>
          <w:ilvl w:val="0"/>
          <w:numId w:val="0"/>
        </w:numPr>
        <w:ind w:left="720"/>
        <w:rPr>
          <w:rFonts w:ascii="Times New Roman" w:hAnsi="Times New Roman"/>
          <w:sz w:val="20"/>
          <w:szCs w:val="20"/>
        </w:rPr>
      </w:pPr>
      <w:r>
        <w:rPr>
          <w:sz w:val="22"/>
          <w:szCs w:val="22"/>
        </w:rPr>
        <w:fldChar w:fldCharType="begin"/>
      </w:r>
      <w:r>
        <w:instrText xml:space="preserve"> LINK </w:instrText>
      </w:r>
      <w:r w:rsidR="00B25BEA">
        <w:instrText xml:space="preserve">Excel.Sheet.12 "C:\\Users\\mlaue\\Documents\\Documents\\Data\\CRTC\\Radio\\radio2019 no change.xlsx" 1!R9C2:R14C2 </w:instrText>
      </w:r>
      <w:r>
        <w:instrText xml:space="preserve">\a \f 5 \h </w:instrText>
      </w:r>
      <w:r>
        <w:fldChar w:fldCharType="separate"/>
      </w:r>
    </w:p>
    <w:p w14:paraId="39B7EDDC" w14:textId="6663F5AF" w:rsidR="00054CDE" w:rsidRDefault="00054CDE" w:rsidP="00F8518C">
      <w:pPr>
        <w:pStyle w:val="FRPCintPara"/>
      </w:pPr>
      <w:r>
        <w:fldChar w:fldCharType="end"/>
      </w:r>
      <w:bookmarkStart w:id="12" w:name="_Ref53989330"/>
      <w:r>
        <w:t xml:space="preserve">The CAB has provided some information about changes in private broadcasters’ advertising income.  Applying this information to private television and radio broadcasters’ 2018/19 advertising revenues/month offers an estimate of these broadcasters’ monthly advertising revenues in 2019/20:  this estimate indicates that  advertising revenues of Canada’s private radio and television broadcasters may decrease by 35% to 40%, respectively, for radio and television:  </w:t>
      </w:r>
      <w:r>
        <w:fldChar w:fldCharType="begin"/>
      </w:r>
      <w:r>
        <w:instrText xml:space="preserve"> REF _Ref53985856 \h </w:instrText>
      </w:r>
      <w:r>
        <w:fldChar w:fldCharType="separate"/>
      </w:r>
      <w:r w:rsidR="00A74C32">
        <w:t xml:space="preserve">Appendix </w:t>
      </w:r>
      <w:r w:rsidR="00A74C32">
        <w:rPr>
          <w:noProof/>
        </w:rPr>
        <w:t>3</w:t>
      </w:r>
      <w:r>
        <w:fldChar w:fldCharType="end"/>
      </w:r>
      <w:r>
        <w:t xml:space="preserve">.  Assuming that all components of private broadcasters’ revenues decrease to the same degree, private broadcasters may be facing a loss of $896 million in the 2019/20 broadcast year, a 30% decrease from 2018/19:  </w:t>
      </w:r>
      <w:r>
        <w:fldChar w:fldCharType="begin"/>
      </w:r>
      <w:r>
        <w:instrText xml:space="preserve"> REF _Ref53986443 \h </w:instrText>
      </w:r>
      <w:r>
        <w:fldChar w:fldCharType="separate"/>
      </w:r>
      <w:r w:rsidR="00A74C32">
        <w:t xml:space="preserve">Table </w:t>
      </w:r>
      <w:r w:rsidR="00A74C32">
        <w:rPr>
          <w:noProof/>
        </w:rPr>
        <w:t>3</w:t>
      </w:r>
      <w:r>
        <w:fldChar w:fldCharType="end"/>
      </w:r>
      <w:r>
        <w:t>.</w:t>
      </w:r>
      <w:bookmarkEnd w:id="12"/>
      <w:r>
        <w:t xml:space="preserve"> </w:t>
      </w:r>
    </w:p>
    <w:p w14:paraId="5A2B0C46" w14:textId="3A746621" w:rsidR="00054CDE" w:rsidRDefault="00054CDE" w:rsidP="008B55DB">
      <w:pPr>
        <w:pStyle w:val="Caption"/>
        <w:keepNext/>
      </w:pPr>
      <w:bookmarkStart w:id="13" w:name="_Ref53986443"/>
      <w:bookmarkStart w:id="14" w:name="_Toc54017096"/>
      <w:r>
        <w:t xml:space="preserve">Table </w:t>
      </w:r>
      <w:fldSimple w:instr=" SEQ Table \* ARABIC ">
        <w:r w:rsidR="00A74C32">
          <w:rPr>
            <w:noProof/>
          </w:rPr>
          <w:t>3</w:t>
        </w:r>
      </w:fldSimple>
      <w:bookmarkEnd w:id="13"/>
      <w:r>
        <w:tab/>
        <w:t>Estimated decrease in conventional advertising revenues in 2019/20</w:t>
      </w:r>
      <w:bookmarkEnd w:id="14"/>
    </w:p>
    <w:tbl>
      <w:tblPr>
        <w:tblW w:w="10440" w:type="dxa"/>
        <w:tblInd w:w="-545" w:type="dxa"/>
        <w:tblLook w:val="04A0" w:firstRow="1" w:lastRow="0" w:firstColumn="1" w:lastColumn="0" w:noHBand="0" w:noVBand="1"/>
      </w:tblPr>
      <w:tblGrid>
        <w:gridCol w:w="1979"/>
        <w:gridCol w:w="2430"/>
        <w:gridCol w:w="1890"/>
        <w:gridCol w:w="2881"/>
        <w:gridCol w:w="1260"/>
      </w:tblGrid>
      <w:tr w:rsidR="00054CDE" w:rsidRPr="00D579A9" w14:paraId="5EF572A0" w14:textId="77777777" w:rsidTr="00C630D4">
        <w:tc>
          <w:tcPr>
            <w:tcW w:w="1979" w:type="dxa"/>
          </w:tcPr>
          <w:p w14:paraId="69F08FD3" w14:textId="77777777" w:rsidR="00054CDE" w:rsidRPr="008B55DB" w:rsidRDefault="00054CDE" w:rsidP="001C3B22">
            <w:pPr>
              <w:pStyle w:val="Table"/>
              <w:ind w:left="0"/>
              <w:rPr>
                <w:b/>
                <w:bCs/>
                <w:sz w:val="20"/>
                <w:szCs w:val="20"/>
              </w:rPr>
            </w:pPr>
            <w:r w:rsidRPr="008B55DB">
              <w:rPr>
                <w:b/>
                <w:bCs/>
                <w:sz w:val="20"/>
                <w:szCs w:val="20"/>
              </w:rPr>
              <w:t>$ millions</w:t>
            </w:r>
          </w:p>
        </w:tc>
        <w:tc>
          <w:tcPr>
            <w:tcW w:w="2430" w:type="dxa"/>
          </w:tcPr>
          <w:p w14:paraId="355F231B" w14:textId="2E6A6508" w:rsidR="00054CDE" w:rsidRPr="008B55DB" w:rsidRDefault="00054CDE" w:rsidP="00E90CAE">
            <w:pPr>
              <w:pStyle w:val="Table"/>
              <w:ind w:left="0"/>
              <w:jc w:val="center"/>
              <w:rPr>
                <w:b/>
                <w:bCs/>
                <w:sz w:val="20"/>
                <w:szCs w:val="20"/>
              </w:rPr>
            </w:pPr>
            <w:r w:rsidRPr="008B55DB">
              <w:rPr>
                <w:b/>
                <w:bCs/>
                <w:sz w:val="20"/>
                <w:szCs w:val="20"/>
              </w:rPr>
              <w:t>Pre-Covid-19 projection</w:t>
            </w:r>
          </w:p>
          <w:p w14:paraId="108FA426" w14:textId="1DD296F5" w:rsidR="00054CDE" w:rsidRPr="008B55DB" w:rsidRDefault="00054CDE" w:rsidP="00E90CAE">
            <w:pPr>
              <w:pStyle w:val="Table"/>
              <w:ind w:left="0"/>
              <w:jc w:val="center"/>
              <w:rPr>
                <w:b/>
                <w:bCs/>
                <w:sz w:val="20"/>
                <w:szCs w:val="20"/>
              </w:rPr>
            </w:pPr>
            <w:r w:rsidRPr="008B55DB">
              <w:rPr>
                <w:b/>
                <w:bCs/>
                <w:sz w:val="20"/>
                <w:szCs w:val="20"/>
              </w:rPr>
              <w:t>for 2019/20</w:t>
            </w:r>
          </w:p>
        </w:tc>
        <w:tc>
          <w:tcPr>
            <w:tcW w:w="1890" w:type="dxa"/>
          </w:tcPr>
          <w:p w14:paraId="71990DA9" w14:textId="0D8ACEF9" w:rsidR="00054CDE" w:rsidRPr="008B55DB" w:rsidRDefault="00054CDE" w:rsidP="00E90CAE">
            <w:pPr>
              <w:pStyle w:val="Table"/>
              <w:ind w:left="0"/>
              <w:jc w:val="center"/>
              <w:rPr>
                <w:b/>
                <w:bCs/>
                <w:sz w:val="20"/>
                <w:szCs w:val="20"/>
              </w:rPr>
            </w:pPr>
            <w:r w:rsidRPr="008B55DB">
              <w:rPr>
                <w:b/>
                <w:bCs/>
                <w:sz w:val="20"/>
                <w:szCs w:val="20"/>
              </w:rPr>
              <w:t>Estimated decrease in revenue (%)</w:t>
            </w:r>
          </w:p>
        </w:tc>
        <w:tc>
          <w:tcPr>
            <w:tcW w:w="2881" w:type="dxa"/>
          </w:tcPr>
          <w:p w14:paraId="74BF3985" w14:textId="77777777" w:rsidR="00054CDE" w:rsidRDefault="00054CDE" w:rsidP="00E90CAE">
            <w:pPr>
              <w:pStyle w:val="Table"/>
              <w:ind w:left="0"/>
              <w:jc w:val="center"/>
              <w:rPr>
                <w:b/>
                <w:bCs/>
                <w:sz w:val="20"/>
                <w:szCs w:val="20"/>
              </w:rPr>
            </w:pPr>
            <w:r w:rsidRPr="008B55DB">
              <w:rPr>
                <w:b/>
                <w:bCs/>
                <w:sz w:val="20"/>
                <w:szCs w:val="20"/>
              </w:rPr>
              <w:t xml:space="preserve">Decrease, applied to </w:t>
            </w:r>
          </w:p>
          <w:p w14:paraId="0682F0D2" w14:textId="34CCB7DC" w:rsidR="00054CDE" w:rsidRPr="008B55DB" w:rsidRDefault="00054CDE" w:rsidP="00C630D4">
            <w:pPr>
              <w:pStyle w:val="Table"/>
              <w:ind w:left="0"/>
              <w:jc w:val="center"/>
              <w:rPr>
                <w:b/>
                <w:bCs/>
                <w:sz w:val="20"/>
                <w:szCs w:val="20"/>
              </w:rPr>
            </w:pPr>
            <w:r w:rsidRPr="008B55DB">
              <w:rPr>
                <w:b/>
                <w:bCs/>
                <w:sz w:val="20"/>
                <w:szCs w:val="20"/>
              </w:rPr>
              <w:t>pre-Covid-19</w:t>
            </w:r>
            <w:r>
              <w:rPr>
                <w:b/>
                <w:bCs/>
                <w:sz w:val="20"/>
                <w:szCs w:val="20"/>
              </w:rPr>
              <w:t xml:space="preserve"> </w:t>
            </w:r>
            <w:r w:rsidRPr="008B55DB">
              <w:rPr>
                <w:b/>
                <w:bCs/>
                <w:sz w:val="20"/>
                <w:szCs w:val="20"/>
              </w:rPr>
              <w:t>projection</w:t>
            </w:r>
          </w:p>
        </w:tc>
        <w:tc>
          <w:tcPr>
            <w:tcW w:w="1260" w:type="dxa"/>
          </w:tcPr>
          <w:p w14:paraId="685D50E6" w14:textId="6CE93417" w:rsidR="00054CDE" w:rsidRPr="008B55DB" w:rsidRDefault="00054CDE" w:rsidP="00E90CAE">
            <w:pPr>
              <w:pStyle w:val="Table"/>
              <w:ind w:left="0"/>
              <w:jc w:val="center"/>
              <w:rPr>
                <w:b/>
                <w:bCs/>
                <w:sz w:val="20"/>
                <w:szCs w:val="20"/>
              </w:rPr>
            </w:pPr>
            <w:r w:rsidRPr="008B55DB">
              <w:rPr>
                <w:b/>
                <w:bCs/>
                <w:sz w:val="20"/>
                <w:szCs w:val="20"/>
              </w:rPr>
              <w:t>Result</w:t>
            </w:r>
          </w:p>
        </w:tc>
      </w:tr>
      <w:tr w:rsidR="00054CDE" w:rsidRPr="00D579A9" w14:paraId="7B093EA1" w14:textId="77777777" w:rsidTr="00C630D4">
        <w:tc>
          <w:tcPr>
            <w:tcW w:w="1979" w:type="dxa"/>
          </w:tcPr>
          <w:p w14:paraId="093B539F" w14:textId="77777777" w:rsidR="00054CDE" w:rsidRPr="00D579A9" w:rsidRDefault="00054CDE" w:rsidP="001C3B22">
            <w:pPr>
              <w:pStyle w:val="Table"/>
              <w:ind w:left="0"/>
              <w:rPr>
                <w:sz w:val="20"/>
                <w:szCs w:val="20"/>
              </w:rPr>
            </w:pPr>
            <w:r w:rsidRPr="00D579A9">
              <w:rPr>
                <w:sz w:val="20"/>
                <w:szCs w:val="20"/>
              </w:rPr>
              <w:t xml:space="preserve">Radio stations </w:t>
            </w:r>
          </w:p>
        </w:tc>
        <w:tc>
          <w:tcPr>
            <w:tcW w:w="2430" w:type="dxa"/>
          </w:tcPr>
          <w:p w14:paraId="4403B907" w14:textId="32F5E7CE" w:rsidR="00054CDE" w:rsidRPr="00D579A9" w:rsidRDefault="00054CDE" w:rsidP="001C3B22">
            <w:pPr>
              <w:pStyle w:val="Table"/>
              <w:ind w:left="0" w:right="252"/>
              <w:jc w:val="right"/>
              <w:rPr>
                <w:sz w:val="20"/>
                <w:szCs w:val="20"/>
              </w:rPr>
            </w:pPr>
            <w:r w:rsidRPr="00D579A9">
              <w:rPr>
                <w:sz w:val="20"/>
                <w:szCs w:val="20"/>
              </w:rPr>
              <w:t>$1,418.1</w:t>
            </w:r>
          </w:p>
        </w:tc>
        <w:tc>
          <w:tcPr>
            <w:tcW w:w="1890" w:type="dxa"/>
          </w:tcPr>
          <w:p w14:paraId="5DDE1935" w14:textId="3BE016D3" w:rsidR="00054CDE" w:rsidRPr="00D579A9" w:rsidRDefault="00054CDE" w:rsidP="001C3B22">
            <w:pPr>
              <w:pStyle w:val="Table"/>
              <w:ind w:left="0" w:right="252"/>
              <w:jc w:val="right"/>
              <w:rPr>
                <w:sz w:val="20"/>
                <w:szCs w:val="20"/>
              </w:rPr>
            </w:pPr>
            <w:r>
              <w:rPr>
                <w:sz w:val="20"/>
                <w:szCs w:val="20"/>
              </w:rPr>
              <w:t>- 35.5%</w:t>
            </w:r>
          </w:p>
        </w:tc>
        <w:tc>
          <w:tcPr>
            <w:tcW w:w="2881" w:type="dxa"/>
          </w:tcPr>
          <w:p w14:paraId="2C79F406" w14:textId="144ED39F" w:rsidR="00054CDE" w:rsidRPr="00D579A9" w:rsidRDefault="00054CDE" w:rsidP="001C3B22">
            <w:pPr>
              <w:pStyle w:val="Table"/>
              <w:ind w:left="0" w:right="252"/>
              <w:jc w:val="right"/>
              <w:rPr>
                <w:sz w:val="20"/>
                <w:szCs w:val="20"/>
              </w:rPr>
            </w:pPr>
            <w:r>
              <w:rPr>
                <w:sz w:val="20"/>
                <w:szCs w:val="20"/>
              </w:rPr>
              <w:t>($302.6)</w:t>
            </w:r>
          </w:p>
        </w:tc>
        <w:tc>
          <w:tcPr>
            <w:tcW w:w="1260" w:type="dxa"/>
          </w:tcPr>
          <w:p w14:paraId="5D9367FD" w14:textId="128A9463" w:rsidR="00054CDE" w:rsidRPr="00D579A9" w:rsidRDefault="00054CDE" w:rsidP="001C3B22">
            <w:pPr>
              <w:pStyle w:val="Table"/>
              <w:ind w:left="0"/>
              <w:jc w:val="right"/>
              <w:rPr>
                <w:sz w:val="20"/>
                <w:szCs w:val="20"/>
              </w:rPr>
            </w:pPr>
            <w:r>
              <w:rPr>
                <w:sz w:val="20"/>
                <w:szCs w:val="20"/>
              </w:rPr>
              <w:t>$1,115.5</w:t>
            </w:r>
          </w:p>
        </w:tc>
      </w:tr>
      <w:tr w:rsidR="00054CDE" w:rsidRPr="00D579A9" w14:paraId="69E5687A" w14:textId="77777777" w:rsidTr="00C630D4">
        <w:tc>
          <w:tcPr>
            <w:tcW w:w="1979" w:type="dxa"/>
          </w:tcPr>
          <w:p w14:paraId="2CB4B202" w14:textId="77777777" w:rsidR="00054CDE" w:rsidRPr="00D579A9" w:rsidRDefault="00054CDE" w:rsidP="001C3B22">
            <w:pPr>
              <w:pStyle w:val="Table"/>
              <w:ind w:left="0"/>
              <w:rPr>
                <w:sz w:val="20"/>
                <w:szCs w:val="20"/>
              </w:rPr>
            </w:pPr>
            <w:r w:rsidRPr="00D579A9">
              <w:rPr>
                <w:sz w:val="20"/>
                <w:szCs w:val="20"/>
              </w:rPr>
              <w:t xml:space="preserve">Television stations </w:t>
            </w:r>
          </w:p>
        </w:tc>
        <w:tc>
          <w:tcPr>
            <w:tcW w:w="2430" w:type="dxa"/>
          </w:tcPr>
          <w:p w14:paraId="2B1DB299" w14:textId="1ECAA986" w:rsidR="00054CDE" w:rsidRPr="00D579A9" w:rsidRDefault="00054CDE" w:rsidP="001C3B22">
            <w:pPr>
              <w:pStyle w:val="Table"/>
              <w:ind w:left="0" w:right="252"/>
              <w:jc w:val="right"/>
              <w:rPr>
                <w:sz w:val="20"/>
                <w:szCs w:val="20"/>
              </w:rPr>
            </w:pPr>
            <w:r w:rsidRPr="00D579A9">
              <w:rPr>
                <w:sz w:val="20"/>
                <w:szCs w:val="20"/>
              </w:rPr>
              <w:t>$1,507.0</w:t>
            </w:r>
          </w:p>
        </w:tc>
        <w:tc>
          <w:tcPr>
            <w:tcW w:w="1890" w:type="dxa"/>
          </w:tcPr>
          <w:p w14:paraId="2D595014" w14:textId="70CDD6E0" w:rsidR="00054CDE" w:rsidRPr="00D579A9" w:rsidRDefault="00054CDE" w:rsidP="001C3B22">
            <w:pPr>
              <w:pStyle w:val="Table"/>
              <w:ind w:left="0" w:right="252"/>
              <w:jc w:val="right"/>
              <w:rPr>
                <w:sz w:val="20"/>
                <w:szCs w:val="20"/>
              </w:rPr>
            </w:pPr>
            <w:r>
              <w:rPr>
                <w:sz w:val="20"/>
                <w:szCs w:val="20"/>
              </w:rPr>
              <w:t>- 39.4%</w:t>
            </w:r>
          </w:p>
        </w:tc>
        <w:tc>
          <w:tcPr>
            <w:tcW w:w="2881" w:type="dxa"/>
          </w:tcPr>
          <w:p w14:paraId="5661E775" w14:textId="6BBC17AD" w:rsidR="00054CDE" w:rsidRPr="00D579A9" w:rsidRDefault="00054CDE" w:rsidP="001C3B22">
            <w:pPr>
              <w:pStyle w:val="Table"/>
              <w:ind w:left="0" w:right="252"/>
              <w:jc w:val="right"/>
              <w:rPr>
                <w:sz w:val="20"/>
                <w:szCs w:val="20"/>
              </w:rPr>
            </w:pPr>
            <w:r>
              <w:rPr>
                <w:sz w:val="20"/>
                <w:szCs w:val="20"/>
              </w:rPr>
              <w:t>($593.8)</w:t>
            </w:r>
          </w:p>
        </w:tc>
        <w:tc>
          <w:tcPr>
            <w:tcW w:w="1260" w:type="dxa"/>
          </w:tcPr>
          <w:p w14:paraId="04F94554" w14:textId="3A4B19A0" w:rsidR="00054CDE" w:rsidRPr="00D579A9" w:rsidRDefault="00054CDE" w:rsidP="001C3B22">
            <w:pPr>
              <w:pStyle w:val="Table"/>
              <w:ind w:left="0"/>
              <w:jc w:val="right"/>
              <w:rPr>
                <w:sz w:val="20"/>
                <w:szCs w:val="20"/>
              </w:rPr>
            </w:pPr>
            <w:r>
              <w:rPr>
                <w:sz w:val="20"/>
                <w:szCs w:val="20"/>
              </w:rPr>
              <w:t>$913.2</w:t>
            </w:r>
          </w:p>
        </w:tc>
      </w:tr>
      <w:tr w:rsidR="00054CDE" w:rsidRPr="00D579A9" w14:paraId="15B466DB" w14:textId="77777777" w:rsidTr="00C630D4">
        <w:tc>
          <w:tcPr>
            <w:tcW w:w="1979" w:type="dxa"/>
          </w:tcPr>
          <w:p w14:paraId="20E5FCAB" w14:textId="77777777" w:rsidR="00054CDE" w:rsidRPr="00D579A9" w:rsidRDefault="00054CDE" w:rsidP="001C3B22">
            <w:pPr>
              <w:pStyle w:val="Table"/>
              <w:ind w:left="0"/>
              <w:rPr>
                <w:b/>
                <w:bCs/>
                <w:sz w:val="20"/>
                <w:szCs w:val="20"/>
              </w:rPr>
            </w:pPr>
            <w:r w:rsidRPr="00D579A9">
              <w:rPr>
                <w:b/>
                <w:bCs/>
                <w:sz w:val="20"/>
                <w:szCs w:val="20"/>
              </w:rPr>
              <w:t>Total</w:t>
            </w:r>
          </w:p>
        </w:tc>
        <w:tc>
          <w:tcPr>
            <w:tcW w:w="2430" w:type="dxa"/>
          </w:tcPr>
          <w:p w14:paraId="321AF8A0" w14:textId="5FD62B6E" w:rsidR="00054CDE" w:rsidRPr="00D579A9" w:rsidRDefault="00054CDE" w:rsidP="001C3B22">
            <w:pPr>
              <w:pStyle w:val="Table"/>
              <w:ind w:left="0" w:right="252"/>
              <w:jc w:val="right"/>
              <w:rPr>
                <w:b/>
                <w:bCs/>
                <w:sz w:val="20"/>
                <w:szCs w:val="20"/>
              </w:rPr>
            </w:pPr>
            <w:r w:rsidRPr="00D579A9">
              <w:rPr>
                <w:b/>
                <w:bCs/>
                <w:sz w:val="20"/>
                <w:szCs w:val="20"/>
              </w:rPr>
              <w:fldChar w:fldCharType="begin"/>
            </w:r>
            <w:r w:rsidRPr="00D579A9">
              <w:rPr>
                <w:b/>
                <w:bCs/>
                <w:sz w:val="20"/>
                <w:szCs w:val="20"/>
              </w:rPr>
              <w:instrText xml:space="preserve"> =SUM(ABOVE) </w:instrText>
            </w:r>
            <w:r w:rsidRPr="00D579A9">
              <w:rPr>
                <w:b/>
                <w:bCs/>
                <w:sz w:val="20"/>
                <w:szCs w:val="20"/>
              </w:rPr>
              <w:fldChar w:fldCharType="separate"/>
            </w:r>
            <w:r w:rsidRPr="00D579A9">
              <w:rPr>
                <w:b/>
                <w:bCs/>
                <w:noProof/>
                <w:sz w:val="20"/>
                <w:szCs w:val="20"/>
              </w:rPr>
              <w:t>$2,925.10</w:t>
            </w:r>
            <w:r w:rsidRPr="00D579A9">
              <w:rPr>
                <w:b/>
                <w:bCs/>
                <w:sz w:val="20"/>
                <w:szCs w:val="20"/>
              </w:rPr>
              <w:fldChar w:fldCharType="end"/>
            </w:r>
          </w:p>
        </w:tc>
        <w:tc>
          <w:tcPr>
            <w:tcW w:w="1890" w:type="dxa"/>
          </w:tcPr>
          <w:p w14:paraId="4FC0D70F" w14:textId="050F00E4" w:rsidR="00054CDE" w:rsidRPr="00D579A9" w:rsidRDefault="00054CDE" w:rsidP="001C3B22">
            <w:pPr>
              <w:pStyle w:val="Table"/>
              <w:ind w:left="0" w:right="252"/>
              <w:jc w:val="right"/>
              <w:rPr>
                <w:b/>
                <w:bCs/>
                <w:sz w:val="20"/>
                <w:szCs w:val="20"/>
              </w:rPr>
            </w:pPr>
            <w:r>
              <w:rPr>
                <w:b/>
                <w:bCs/>
                <w:sz w:val="20"/>
                <w:szCs w:val="20"/>
              </w:rPr>
              <w:t>-30.6%</w:t>
            </w:r>
          </w:p>
        </w:tc>
        <w:tc>
          <w:tcPr>
            <w:tcW w:w="2881" w:type="dxa"/>
          </w:tcPr>
          <w:p w14:paraId="3407387C" w14:textId="6B63EC8F" w:rsidR="00054CDE" w:rsidRPr="00D579A9" w:rsidRDefault="00054CDE" w:rsidP="001C3B22">
            <w:pPr>
              <w:pStyle w:val="Table"/>
              <w:ind w:left="0" w:right="252"/>
              <w:jc w:val="right"/>
              <w:rPr>
                <w:b/>
                <w:bCs/>
                <w:sz w:val="20"/>
                <w:szCs w:val="20"/>
              </w:rPr>
            </w:pPr>
            <w:r>
              <w:rPr>
                <w:b/>
                <w:bCs/>
                <w:sz w:val="20"/>
                <w:szCs w:val="20"/>
              </w:rPr>
              <w:t>($896.3)</w:t>
            </w:r>
          </w:p>
        </w:tc>
        <w:tc>
          <w:tcPr>
            <w:tcW w:w="1260" w:type="dxa"/>
          </w:tcPr>
          <w:p w14:paraId="140EC551" w14:textId="26FB500A" w:rsidR="00054CDE" w:rsidRPr="00D579A9" w:rsidRDefault="00054CDE" w:rsidP="001C3B22">
            <w:pPr>
              <w:pStyle w:val="Table"/>
              <w:ind w:left="0"/>
              <w:jc w:val="right"/>
              <w:rPr>
                <w:b/>
                <w:bCs/>
                <w:sz w:val="20"/>
                <w:szCs w:val="20"/>
              </w:rPr>
            </w:pPr>
            <w:r>
              <w:rPr>
                <w:b/>
                <w:bCs/>
                <w:sz w:val="20"/>
                <w:szCs w:val="20"/>
              </w:rPr>
              <w:t>$2,028.8</w:t>
            </w:r>
          </w:p>
        </w:tc>
      </w:tr>
    </w:tbl>
    <w:p w14:paraId="347EE44A" w14:textId="77777777" w:rsidR="00054CDE" w:rsidRDefault="00054CDE" w:rsidP="002B134F">
      <w:pPr>
        <w:pStyle w:val="FRPCintPara"/>
        <w:numPr>
          <w:ilvl w:val="0"/>
          <w:numId w:val="0"/>
        </w:numPr>
        <w:ind w:left="720"/>
      </w:pPr>
    </w:p>
    <w:p w14:paraId="01B48F82" w14:textId="1F55D3C6" w:rsidR="00054CDE" w:rsidRDefault="00054CDE" w:rsidP="00F8518C">
      <w:pPr>
        <w:pStyle w:val="FRPCintPara"/>
      </w:pPr>
      <w:r>
        <w:t xml:space="preserve">The scale of this revenue loss </w:t>
      </w:r>
      <w:r w:rsidR="00E27A7F">
        <w:t xml:space="preserve">with respect to conventional radio and television stations </w:t>
      </w:r>
      <w:r>
        <w:t xml:space="preserve">will have implications for the entire broadcasting sector and its non-licensed stakeholders, including employees and stakeholders in the production sector.  Insofar as Canadian programming is concerned, expenditure levels have only just been recovering from significant decreases around 2010:   </w:t>
      </w:r>
      <w:r>
        <w:fldChar w:fldCharType="begin"/>
      </w:r>
      <w:r>
        <w:instrText xml:space="preserve"> REF _Ref53985976 \h </w:instrText>
      </w:r>
      <w:r>
        <w:fldChar w:fldCharType="separate"/>
      </w:r>
      <w:r w:rsidR="00A74C32">
        <w:t xml:space="preserve">Appendix </w:t>
      </w:r>
      <w:r w:rsidR="00A74C32">
        <w:rPr>
          <w:noProof/>
        </w:rPr>
        <w:t>4</w:t>
      </w:r>
      <w:r>
        <w:fldChar w:fldCharType="end"/>
      </w:r>
      <w:r>
        <w:t xml:space="preserve">.  As for employment, full-time or equivalent employment opportunities have been declining in conventional broadcasting since the early 2000s:  </w:t>
      </w:r>
      <w:r>
        <w:fldChar w:fldCharType="begin"/>
      </w:r>
      <w:r>
        <w:instrText xml:space="preserve"> REF _Ref53986093 \h </w:instrText>
      </w:r>
      <w:r>
        <w:fldChar w:fldCharType="separate"/>
      </w:r>
      <w:r w:rsidR="00A74C32">
        <w:t xml:space="preserve">Appendix </w:t>
      </w:r>
      <w:r w:rsidR="00A74C32">
        <w:rPr>
          <w:noProof/>
        </w:rPr>
        <w:t>5</w:t>
      </w:r>
      <w:r>
        <w:fldChar w:fldCharType="end"/>
      </w:r>
      <w:r>
        <w:t>.</w:t>
      </w:r>
      <w:r w:rsidR="005A2DCB">
        <w:t xml:space="preserve"> </w:t>
      </w:r>
    </w:p>
    <w:p w14:paraId="4A91FCFC" w14:textId="31EBC39D" w:rsidR="00054CDE" w:rsidRDefault="00054CDE" w:rsidP="002B134F">
      <w:pPr>
        <w:pStyle w:val="FRPCintPara"/>
      </w:pPr>
      <w:r>
        <w:t xml:space="preserve">Canada’s private radio and television sectors clearly face significant financial challenges in both the 2019/20 and 2020/21 broadcast years.  We believe it is also likely that these challenges will linger </w:t>
      </w:r>
      <w:r w:rsidR="005A2DCB">
        <w:t xml:space="preserve">well into and perhaps even beyond </w:t>
      </w:r>
      <w:r>
        <w:t>the 2021/22 broadcast year.</w:t>
      </w:r>
      <w:r>
        <w:rPr>
          <w:rStyle w:val="EndnoteReference"/>
        </w:rPr>
        <w:endnoteReference w:id="17"/>
      </w:r>
    </w:p>
    <w:p w14:paraId="33DB881C" w14:textId="122AAD8E" w:rsidR="00054CDE" w:rsidRDefault="00054CDE" w:rsidP="002B134F">
      <w:pPr>
        <w:pStyle w:val="FRPCintPara"/>
      </w:pPr>
      <w:bookmarkStart w:id="15" w:name="_Ref53989373"/>
      <w:r>
        <w:lastRenderedPageBreak/>
        <w:t>At the end of March 2020, Canadian Heritage announced that the CRTC would not require broadcasters to pay an estimated $30 million in annual licence fees.</w:t>
      </w:r>
      <w:r>
        <w:rPr>
          <w:rStyle w:val="EndnoteReference"/>
          <w:rFonts w:cs="Calibri"/>
        </w:rPr>
        <w:endnoteReference w:id="18"/>
      </w:r>
      <w:r>
        <w:t xml:space="preserve"> </w:t>
      </w:r>
      <w:r w:rsidRPr="002F3F8D">
        <w:t xml:space="preserve"> </w:t>
      </w:r>
      <w:r>
        <w:t xml:space="preserve">It is unclear </w:t>
      </w:r>
      <w:r w:rsidR="005A2DCB">
        <w:t xml:space="preserve">to what degree </w:t>
      </w:r>
      <w:r>
        <w:t xml:space="preserve">the Federal government is considering the other eight measures proposed by the CAB.  </w:t>
      </w:r>
      <w:r w:rsidR="005A2DCB">
        <w:t>Taking</w:t>
      </w:r>
      <w:r>
        <w:t xml:space="preserve"> the licence fee reduction into account might reduce the total loss faced by radio and TV broadcasters by 3%, from $896 million to $866 million.</w:t>
      </w:r>
      <w:bookmarkEnd w:id="15"/>
    </w:p>
    <w:p w14:paraId="4F857365" w14:textId="19A9B0B5" w:rsidR="00054CDE" w:rsidRPr="002B134F" w:rsidRDefault="005A2DCB" w:rsidP="00470EBC">
      <w:pPr>
        <w:pStyle w:val="FRPCintPara"/>
      </w:pPr>
      <w:r>
        <w:t>Faced with continued uncertainty (like everyone else in Canada), i</w:t>
      </w:r>
      <w:r w:rsidR="00054CDE">
        <w:t>t is unsurprising that in mid-2020 the CAB asked the CRTC to change its policies and regulations for all private radio and television programming stations. (The Forum distinguishes between stations licensed to transmit to and serve individual communities in Canada, and programming services whose services are transmitted across several regions of or the entire country, and for the most part are not licensed to serve individual communities.)  T</w:t>
      </w:r>
      <w:r w:rsidR="00054CDE" w:rsidRPr="002B134F">
        <w:t xml:space="preserve">he CRTC has granted Canada’s private </w:t>
      </w:r>
      <w:r w:rsidR="00054CDE">
        <w:t xml:space="preserve">TV </w:t>
      </w:r>
      <w:r w:rsidR="00054CDE" w:rsidRPr="002B134F">
        <w:t>broadcasters regulatory flexibility in the past – see</w:t>
      </w:r>
      <w:r w:rsidR="00054CDE">
        <w:t xml:space="preserve"> </w:t>
      </w:r>
      <w:r w:rsidR="00054CDE">
        <w:fldChar w:fldCharType="begin"/>
      </w:r>
      <w:r w:rsidR="00054CDE">
        <w:instrText xml:space="preserve"> REF _Ref53986730 \h </w:instrText>
      </w:r>
      <w:r w:rsidR="00054CDE">
        <w:fldChar w:fldCharType="separate"/>
      </w:r>
      <w:r w:rsidR="00A74C32">
        <w:t xml:space="preserve">Appendix </w:t>
      </w:r>
      <w:r w:rsidR="00A74C32">
        <w:rPr>
          <w:noProof/>
        </w:rPr>
        <w:t>6</w:t>
      </w:r>
      <w:r w:rsidR="00054CDE">
        <w:fldChar w:fldCharType="end"/>
      </w:r>
      <w:r>
        <w:t xml:space="preserve"> </w:t>
      </w:r>
      <w:r w:rsidR="00054CDE" w:rsidRPr="002B134F">
        <w:t xml:space="preserve">– </w:t>
      </w:r>
      <w:r w:rsidR="00054CDE">
        <w:t xml:space="preserve">but </w:t>
      </w:r>
      <w:r>
        <w:t xml:space="preserve">neither the CRTC, Canadian broadcasters or their audiences have faced a similar level of financial turmoil.  </w:t>
      </w:r>
      <w:r w:rsidR="00054CDE">
        <w:t xml:space="preserve">Covid-19’s impact on Canada’s economy will be unique. </w:t>
      </w:r>
      <w:r w:rsidR="00054CDE" w:rsidRPr="002B134F">
        <w:t xml:space="preserve">  </w:t>
      </w:r>
    </w:p>
    <w:p w14:paraId="109FEB05" w14:textId="241FAE48" w:rsidR="00054CDE" w:rsidRDefault="00054CDE" w:rsidP="002B134F">
      <w:pPr>
        <w:pStyle w:val="FRPCintPara"/>
      </w:pPr>
      <w:r>
        <w:t xml:space="preserve">In the remainder of this intervention the Forum addresses CAB’s requests and the evidence it offered to support the requests.  The Forum’s answers to the CRTC’s questions are set out in </w:t>
      </w:r>
      <w:r w:rsidR="005A2DCB">
        <w:fldChar w:fldCharType="begin"/>
      </w:r>
      <w:r w:rsidR="005A2DCB">
        <w:instrText xml:space="preserve"> REF _Ref53999419 \h </w:instrText>
      </w:r>
      <w:r w:rsidR="005A2DCB">
        <w:fldChar w:fldCharType="separate"/>
      </w:r>
      <w:r w:rsidR="00A74C32">
        <w:t xml:space="preserve">Appendix </w:t>
      </w:r>
      <w:r w:rsidR="00A74C32">
        <w:rPr>
          <w:noProof/>
        </w:rPr>
        <w:t>11</w:t>
      </w:r>
      <w:r w:rsidR="005A2DCB">
        <w:fldChar w:fldCharType="end"/>
      </w:r>
      <w:r w:rsidR="005A2DCB">
        <w:t xml:space="preserve">. </w:t>
      </w:r>
    </w:p>
    <w:p w14:paraId="5A90F204" w14:textId="77160030" w:rsidR="00054CDE" w:rsidRDefault="00054CDE" w:rsidP="001D250C">
      <w:pPr>
        <w:pStyle w:val="Heading1"/>
      </w:pPr>
      <w:bookmarkStart w:id="16" w:name="_Toc54021161"/>
      <w:r>
        <w:t>CAB’s application:  exceptional times require an exceptional approach</w:t>
      </w:r>
      <w:bookmarkEnd w:id="16"/>
    </w:p>
    <w:p w14:paraId="239E8BE2" w14:textId="12E6CB00" w:rsidR="00054CDE" w:rsidRDefault="00054CDE" w:rsidP="002B134F">
      <w:pPr>
        <w:pStyle w:val="FRPCintPara"/>
      </w:pPr>
      <w:r>
        <w:t>The CAB’s 13 July 2020 application seeks “emergency regulatory relief”</w:t>
      </w:r>
      <w:r>
        <w:rPr>
          <w:rStyle w:val="EndnoteReference"/>
        </w:rPr>
        <w:endnoteReference w:id="19"/>
      </w:r>
      <w:r>
        <w:t xml:space="preserve"> and an expedited CRTC process to address the consequences of the 2020 Covid-19 global pandemic for radio and television broadcasters.</w:t>
      </w:r>
      <w:r>
        <w:rPr>
          <w:rStyle w:val="EndnoteReference"/>
        </w:rPr>
        <w:endnoteReference w:id="20"/>
      </w:r>
      <w:r>
        <w:t xml:space="preserve">  While the </w:t>
      </w:r>
      <w:r>
        <w:rPr>
          <w:i/>
          <w:iCs/>
        </w:rPr>
        <w:t xml:space="preserve">Rules </w:t>
      </w:r>
      <w:r>
        <w:t xml:space="preserve">expressly permit the CRTC to dispense with or vary its </w:t>
      </w:r>
      <w:r>
        <w:rPr>
          <w:i/>
          <w:iCs/>
        </w:rPr>
        <w:t>Rules</w:t>
      </w:r>
      <w:r w:rsidR="003F48A5">
        <w:t>,</w:t>
      </w:r>
      <w:r w:rsidRPr="002E1E25">
        <w:rPr>
          <w:rStyle w:val="EndnoteReference"/>
        </w:rPr>
        <w:endnoteReference w:id="21"/>
      </w:r>
      <w:r w:rsidRPr="002E1E25">
        <w:t xml:space="preserve"> </w:t>
      </w:r>
      <w:r>
        <w:t>they do not address expedited applications.</w:t>
      </w:r>
      <w:r>
        <w:rPr>
          <w:rStyle w:val="EndnoteReference"/>
        </w:rPr>
        <w:endnoteReference w:id="22"/>
      </w:r>
      <w:r>
        <w:t xml:space="preserve"> The CRTC did not grant the CAB’s request for expedited relief but instead published a notice of consultation dealing with the application on 17 September 2020, and published the application itself the following day.</w:t>
      </w:r>
    </w:p>
    <w:p w14:paraId="08016416" w14:textId="300EC247" w:rsidR="00054CDE" w:rsidRDefault="00054CDE" w:rsidP="00F8518C">
      <w:pPr>
        <w:pStyle w:val="FRPCintPara"/>
      </w:pPr>
      <w:r>
        <w:t xml:space="preserve">The Forum’s comments on the CAB’s application are made in terms of the requirements of the CRTC’s </w:t>
      </w:r>
      <w:r w:rsidRPr="00736696">
        <w:rPr>
          <w:i/>
          <w:iCs/>
        </w:rPr>
        <w:t xml:space="preserve">Rules of Practice and Procedure </w:t>
      </w:r>
      <w:r>
        <w:t>which require applicants to submit the grounds for and facts of their requests</w:t>
      </w:r>
      <w:r w:rsidRPr="003B6BF2">
        <w:rPr>
          <w:rStyle w:val="EndnoteReference"/>
        </w:rPr>
        <w:endnoteReference w:id="23"/>
      </w:r>
      <w:r w:rsidRPr="00736696">
        <w:rPr>
          <w:i/>
          <w:iCs/>
        </w:rPr>
        <w:t xml:space="preserve"> </w:t>
      </w:r>
      <w:r>
        <w:t>and require the Forum to state relevant facts and grounds for its support of or opposition to the CAB’s application.</w:t>
      </w:r>
      <w:r>
        <w:rPr>
          <w:rStyle w:val="EndnoteReference"/>
        </w:rPr>
        <w:endnoteReference w:id="24"/>
      </w:r>
      <w:r>
        <w:t xml:space="preserve">  In addition to the CAB’s application, the Forum’s intervention takes note of information published on 24 August 2020 which was posted on the CAB’s website.</w:t>
      </w:r>
      <w:r>
        <w:rPr>
          <w:rStyle w:val="EndnoteReference"/>
        </w:rPr>
        <w:endnoteReference w:id="25"/>
      </w:r>
      <w:r>
        <w:t xml:space="preserve"> (</w:t>
      </w:r>
      <w:r w:rsidR="003F48A5">
        <w:t>In this context w</w:t>
      </w:r>
      <w:r>
        <w:t xml:space="preserve">e note that while the CRTC’s </w:t>
      </w:r>
      <w:r w:rsidRPr="00736696">
        <w:rPr>
          <w:i/>
          <w:iCs/>
        </w:rPr>
        <w:t xml:space="preserve">Rules </w:t>
      </w:r>
      <w:r>
        <w:t xml:space="preserve">do not set out specific requirements for expedited Part 1 applications, they require applicants to post their applications online or set out the online address where the applications may be found.  The CAB’s application did not specify the online address where it could be found, </w:t>
      </w:r>
      <w:r w:rsidR="003F48A5">
        <w:t>nor does</w:t>
      </w:r>
      <w:r>
        <w:t xml:space="preserve"> the CAB’s website appear to have a copy of the application posted: </w:t>
      </w:r>
      <w:r>
        <w:fldChar w:fldCharType="begin"/>
      </w:r>
      <w:r>
        <w:instrText xml:space="preserve"> REF _Ref53987779 \h </w:instrText>
      </w:r>
      <w:r>
        <w:fldChar w:fldCharType="separate"/>
      </w:r>
      <w:r w:rsidR="00A74C32">
        <w:t xml:space="preserve">Appendix </w:t>
      </w:r>
      <w:r w:rsidR="00A74C32">
        <w:rPr>
          <w:noProof/>
        </w:rPr>
        <w:t>7</w:t>
      </w:r>
      <w:r>
        <w:fldChar w:fldCharType="end"/>
      </w:r>
      <w:r>
        <w:t>.)</w:t>
      </w:r>
    </w:p>
    <w:p w14:paraId="1EDEED76" w14:textId="68CFB0F4" w:rsidR="00054CDE" w:rsidRDefault="00054CDE" w:rsidP="004541A5">
      <w:pPr>
        <w:pStyle w:val="Heading2"/>
      </w:pPr>
      <w:bookmarkStart w:id="18" w:name="_Toc54021162"/>
      <w:r>
        <w:lastRenderedPageBreak/>
        <w:t>The overall impact of the Covid-19 pandemic on conventional broadcasting</w:t>
      </w:r>
      <w:bookmarkEnd w:id="18"/>
      <w:r>
        <w:t xml:space="preserve"> </w:t>
      </w:r>
    </w:p>
    <w:p w14:paraId="42CA1E1B" w14:textId="3B9CF31E" w:rsidR="00054CDE" w:rsidRDefault="00054CDE" w:rsidP="002B134F">
      <w:pPr>
        <w:pStyle w:val="FRPCintPara"/>
      </w:pPr>
      <w:r>
        <w:t>The CAB’s application says that while radio has maintained 85% of its reach and TV viewing has grown,</w:t>
      </w:r>
      <w:r>
        <w:rPr>
          <w:rStyle w:val="EndnoteReference"/>
        </w:rPr>
        <w:endnoteReference w:id="26"/>
      </w:r>
      <w:r>
        <w:t xml:space="preserve"> private radio advertising decreased 56.9% from May 2020 to June 2020 and private TV advertising decreased 50.4% from April 2020 to May 2020.  It says that private local broadcasters have continued operating deficits of approximately $50 million per month.</w:t>
      </w:r>
      <w:r>
        <w:rPr>
          <w:rStyle w:val="EndnoteReference"/>
        </w:rPr>
        <w:endnoteReference w:id="27"/>
      </w:r>
      <w:r>
        <w:t xml:space="preserve"> As noted previously the CAB’s application does not estimate the full scope of private broadcasters’ reduced revenues in the 2019/20 broadcast year.  </w:t>
      </w:r>
    </w:p>
    <w:p w14:paraId="02C46101" w14:textId="43142598" w:rsidR="00054CDE" w:rsidRPr="004555A5" w:rsidRDefault="00054CDE" w:rsidP="002B134F">
      <w:pPr>
        <w:pStyle w:val="FRPCintPara"/>
      </w:pPr>
      <w:r>
        <w:t>Based on the evidence provided by CAB, the Forum’s analysis (above, at paragraphs 13 to 15) and the ongoing nature of Canadian efforts to contain the Covid-19 virus, the Forum agrees that Canada’s private radio and television sectors face significant financial challenges in both the 2019/20 and 2020/21 broadcast years.  Despite some recovery in Canada’s economy in general we believe these challenges will linger for at least the first half of the 2021/22 broadcast year.</w:t>
      </w:r>
    </w:p>
    <w:p w14:paraId="06D7251B" w14:textId="6E03B260" w:rsidR="00054CDE" w:rsidRDefault="00054CDE" w:rsidP="004541A5">
      <w:pPr>
        <w:pStyle w:val="Heading2"/>
      </w:pPr>
      <w:bookmarkStart w:id="19" w:name="_Toc54021163"/>
      <w:r>
        <w:t>Specific requests made by the CAB</w:t>
      </w:r>
      <w:bookmarkEnd w:id="19"/>
    </w:p>
    <w:p w14:paraId="5334C2F8" w14:textId="47DDB106" w:rsidR="00054CDE" w:rsidRDefault="00054CDE" w:rsidP="002B134F">
      <w:pPr>
        <w:pStyle w:val="FRPCintPara"/>
      </w:pPr>
      <w:r w:rsidRPr="001D250C">
        <w:t xml:space="preserve">Briefly, the CAB </w:t>
      </w:r>
      <w:r w:rsidR="003F48A5">
        <w:t>states</w:t>
      </w:r>
      <w:r>
        <w:t xml:space="preserve"> that it is not asking the CRTC to amend or suspend broadcasters’ conditions of licence</w:t>
      </w:r>
      <w:r>
        <w:rPr>
          <w:rStyle w:val="EndnoteReference"/>
        </w:rPr>
        <w:endnoteReference w:id="28"/>
      </w:r>
      <w:r>
        <w:t xml:space="preserve"> but </w:t>
      </w:r>
      <w:r w:rsidRPr="001D250C">
        <w:t>to use “[a]n exceptional approach … to address an exceptional situation”</w:t>
      </w:r>
      <w:r w:rsidRPr="001D250C">
        <w:rPr>
          <w:vertAlign w:val="superscript"/>
        </w:rPr>
        <w:endnoteReference w:id="29"/>
      </w:r>
      <w:r w:rsidRPr="001D250C">
        <w:t xml:space="preserve"> by </w:t>
      </w:r>
      <w:r>
        <w:t xml:space="preserve">ignoring private broadcasters’ non-compliance with the CRTC’s requirements and by facilitating private broadcasters’ LMAs.  </w:t>
      </w:r>
      <w:r w:rsidRPr="001D250C">
        <w:t xml:space="preserve">The </w:t>
      </w:r>
      <w:r>
        <w:t xml:space="preserve">CAB </w:t>
      </w:r>
      <w:r w:rsidRPr="001D250C">
        <w:t>asks that the CRTC grant flexibility for exhibition and other regulatory requirement</w:t>
      </w:r>
      <w:r>
        <w:t>, and that it adopt different practices and policies for breaches of conditions of licence or regulations arising from the pandemic,</w:t>
      </w:r>
      <w:r>
        <w:rPr>
          <w:rStyle w:val="EndnoteReference"/>
        </w:rPr>
        <w:endnoteReference w:id="30"/>
      </w:r>
      <w:r>
        <w:t xml:space="preserve"> “limited to the 2020 broadcast year and designed to minimize the need for further relief in the 2021 broadcast year.”</w:t>
      </w:r>
      <w:r>
        <w:rPr>
          <w:rStyle w:val="EndnoteReference"/>
        </w:rPr>
        <w:endnoteReference w:id="31"/>
      </w:r>
      <w:r>
        <w:t xml:space="preserve"> The CAB says that adopting such practices and policies would not fetter the CRTC’s discretion </w:t>
      </w:r>
      <w:r w:rsidRPr="00487189">
        <w:t>to sanction any broadcasters it may ultimately deem have acted in bad faith.</w:t>
      </w:r>
      <w:r>
        <w:t>”</w:t>
      </w:r>
      <w:r>
        <w:rPr>
          <w:rStyle w:val="EndnoteReference"/>
        </w:rPr>
        <w:endnoteReference w:id="32"/>
      </w:r>
    </w:p>
    <w:p w14:paraId="430D511D" w14:textId="3A5DA1EC" w:rsidR="00054CDE" w:rsidRDefault="003F48A5" w:rsidP="002B134F">
      <w:pPr>
        <w:pStyle w:val="FRPCintPara"/>
      </w:pPr>
      <w:r>
        <w:t>The CAB argues that w</w:t>
      </w:r>
      <w:r w:rsidR="00054CDE" w:rsidRPr="001D250C">
        <w:t>ithout such changes</w:t>
      </w:r>
      <w:r>
        <w:t xml:space="preserve"> </w:t>
      </w:r>
      <w:r w:rsidR="00054CDE">
        <w:t>the broadcasting industry will continue to endure uncertainty, hindering broadcasters’ recovery plans.</w:t>
      </w:r>
      <w:r w:rsidR="00054CDE">
        <w:rPr>
          <w:rStyle w:val="EndnoteReference"/>
        </w:rPr>
        <w:endnoteReference w:id="33"/>
      </w:r>
      <w:r w:rsidR="00054CDE">
        <w:t xml:space="preserve"> If the CRTC does not act there may be “unnecessary</w:t>
      </w:r>
      <w:r w:rsidR="00054CDE">
        <w:rPr>
          <w:rStyle w:val="EndnoteReference"/>
        </w:rPr>
        <w:endnoteReference w:id="34"/>
      </w:r>
      <w:r w:rsidR="00054CDE">
        <w:t xml:space="preserve"> job losses and station closures”, news and information programming may disappear, and the Commission may receive “a wave of individual applications for relief”.</w:t>
      </w:r>
      <w:r w:rsidR="00054CDE">
        <w:rPr>
          <w:rStyle w:val="EndnoteReference"/>
        </w:rPr>
        <w:endnoteReference w:id="35"/>
      </w:r>
      <w:r w:rsidR="00054CDE">
        <w:t xml:space="preserve">  The CAB’s application estimates that 50 or more private radio stations may close in the few months after July 2020, pointing to AM stations in larger locations and radio stations operated by Canada’s smallest broadcasters.</w:t>
      </w:r>
      <w:r w:rsidR="00054CDE">
        <w:rPr>
          <w:rStyle w:val="EndnoteReference"/>
        </w:rPr>
        <w:endnoteReference w:id="36"/>
      </w:r>
      <w:r w:rsidR="00054CDE">
        <w:t xml:space="preserve">  It noted </w:t>
      </w:r>
      <w:r w:rsidR="00054CDE" w:rsidRPr="001D250C">
        <w:t>that</w:t>
      </w:r>
      <w:r w:rsidR="00054CDE">
        <w:t xml:space="preserve"> when it filed its application in mid-July 2020 </w:t>
      </w:r>
      <w:r w:rsidR="00054CDE" w:rsidRPr="001D250C">
        <w:t xml:space="preserve">two radio stations had </w:t>
      </w:r>
      <w:r w:rsidR="00054CDE">
        <w:t xml:space="preserve">already </w:t>
      </w:r>
      <w:r w:rsidR="00054CDE" w:rsidRPr="001D250C">
        <w:t>closed and that three broadcasters had announced “cuts and layoffs”.</w:t>
      </w:r>
      <w:r w:rsidR="00054CDE" w:rsidRPr="001D250C">
        <w:rPr>
          <w:vertAlign w:val="superscript"/>
        </w:rPr>
        <w:endnoteReference w:id="37"/>
      </w:r>
      <w:r w:rsidR="00054CDE">
        <w:t xml:space="preserve"> </w:t>
      </w:r>
    </w:p>
    <w:p w14:paraId="13E8A09A" w14:textId="74E1CBE9" w:rsidR="00054CDE" w:rsidRDefault="00054CDE" w:rsidP="002B134F">
      <w:pPr>
        <w:pStyle w:val="FRPCintPara"/>
      </w:pPr>
      <w:r>
        <w:t>Indeed, a report dated 24 August 2020 which is posted on the CAB’s website</w:t>
      </w:r>
      <w:r>
        <w:rPr>
          <w:rStyle w:val="EndnoteReference"/>
        </w:rPr>
        <w:endnoteReference w:id="38"/>
      </w:r>
      <w:r>
        <w:t xml:space="preserve"> estimates that</w:t>
      </w:r>
    </w:p>
    <w:p w14:paraId="6AC6193C" w14:textId="545D822D" w:rsidR="00054CDE" w:rsidRDefault="00054CDE" w:rsidP="00001F2D">
      <w:pPr>
        <w:pStyle w:val="BulletText"/>
      </w:pPr>
      <w:r>
        <w:t>Local private broadcasters may experience a shortfall of more than $1 billion in advertising revenue “between 2020 and 2022”</w:t>
      </w:r>
      <w:r>
        <w:rPr>
          <w:rStyle w:val="EndnoteReference"/>
        </w:rPr>
        <w:endnoteReference w:id="39"/>
      </w:r>
    </w:p>
    <w:p w14:paraId="2257E49F" w14:textId="11E339DD" w:rsidR="00054CDE" w:rsidRDefault="00054CDE" w:rsidP="00001F2D">
      <w:pPr>
        <w:pStyle w:val="BulletText"/>
      </w:pPr>
      <w:r>
        <w:t>50 of 737 radio stations may close before February 2021 and that 100 to 150 more may close between February 2021 and February 2022,</w:t>
      </w:r>
      <w:r>
        <w:rPr>
          <w:rStyle w:val="EndnoteReference"/>
        </w:rPr>
        <w:endnoteReference w:id="40"/>
      </w:r>
      <w:r>
        <w:t xml:space="preserve"> and</w:t>
      </w:r>
    </w:p>
    <w:p w14:paraId="5B43E6DE" w14:textId="751C03E1" w:rsidR="00054CDE" w:rsidRDefault="00054CDE" w:rsidP="00001F2D">
      <w:pPr>
        <w:pStyle w:val="BulletText"/>
      </w:pPr>
      <w:r>
        <w:lastRenderedPageBreak/>
        <w:t>More than 40 or almost half of Canada’s private television stations may close before August 2023.</w:t>
      </w:r>
      <w:r>
        <w:rPr>
          <w:rStyle w:val="EndnoteReference"/>
        </w:rPr>
        <w:endnoteReference w:id="41"/>
      </w:r>
    </w:p>
    <w:p w14:paraId="4ECDC3B3" w14:textId="77777777" w:rsidR="00054CDE" w:rsidRDefault="00054CDE" w:rsidP="00E73091">
      <w:pPr>
        <w:pStyle w:val="BulletText"/>
        <w:numPr>
          <w:ilvl w:val="0"/>
          <w:numId w:val="0"/>
        </w:numPr>
        <w:ind w:left="1440"/>
      </w:pPr>
    </w:p>
    <w:p w14:paraId="3FF44E67" w14:textId="7A04E5F1" w:rsidR="00054CDE" w:rsidRDefault="00054CDE" w:rsidP="002B134F">
      <w:pPr>
        <w:pStyle w:val="FRPCintPara"/>
      </w:pPr>
      <w:r>
        <w:t>The report goes on to say that “[w]</w:t>
      </w:r>
      <w:proofErr w:type="spellStart"/>
      <w:r>
        <w:t>hile</w:t>
      </w:r>
      <w:proofErr w:type="spellEnd"/>
      <w:r>
        <w:t xml:space="preserve"> emergency assistance programs have helped” they address only an unknown part of broadcasters’ revenue losses.</w:t>
      </w:r>
      <w:r>
        <w:rPr>
          <w:rStyle w:val="EndnoteReference"/>
        </w:rPr>
        <w:endnoteReference w:id="42"/>
      </w:r>
      <w:r w:rsidR="003F48A5">
        <w:t xml:space="preserve">  </w:t>
      </w:r>
    </w:p>
    <w:p w14:paraId="57A07D35" w14:textId="17A70D6B" w:rsidR="00054CDE" w:rsidRDefault="00054CDE" w:rsidP="002D3CD6">
      <w:pPr>
        <w:pStyle w:val="FRPCintPara"/>
      </w:pPr>
      <w:r>
        <w:t>The CAB’s application also argues that the CRTC will face a “significant administrative challenge” because “[h]</w:t>
      </w:r>
      <w:proofErr w:type="spellStart"/>
      <w:r>
        <w:t>undreds</w:t>
      </w:r>
      <w:proofErr w:type="spellEnd"/>
      <w:r>
        <w:t xml:space="preserve"> of individual licensee applications for relief could potentially be filed.  </w:t>
      </w:r>
      <w:r w:rsidR="002D3CD6">
        <w:t xml:space="preserve">The CAB did not explain why </w:t>
      </w:r>
      <w:r>
        <w:t>hundreds of individual licensee applications would be submitted to the CRTC in this matte</w:t>
      </w:r>
      <w:r w:rsidR="002D3CD6">
        <w:t xml:space="preserve">r, in light of </w:t>
      </w:r>
      <w:r w:rsidR="003F48A5">
        <w:t xml:space="preserve">the CRTC’s </w:t>
      </w:r>
      <w:r>
        <w:t>20-year-old policy of licensing ownership groups</w:t>
      </w:r>
      <w:r w:rsidR="002D3CD6">
        <w:t>,</w:t>
      </w:r>
      <w:r>
        <w:rPr>
          <w:rStyle w:val="EndnoteReference"/>
        </w:rPr>
        <w:endnoteReference w:id="43"/>
      </w:r>
      <w:r>
        <w:t xml:space="preserve"> </w:t>
      </w:r>
      <w:r w:rsidR="002D3CD6">
        <w:t xml:space="preserve">established to support conventional broadcasting services as discretionary programming services grew in popularity. </w:t>
      </w:r>
      <w:r>
        <w:t xml:space="preserve"> </w:t>
      </w:r>
      <w:r w:rsidR="00237432">
        <w:t xml:space="preserve">(It is perhaps more likely that if it does not develop an approach to deal with the broadcasting sector’s financial crisis that the CRTC could receive dozens of applications for regulatory relief from broadcast owners:  </w:t>
      </w:r>
      <w:r w:rsidR="002D3CD6">
        <w:fldChar w:fldCharType="begin"/>
      </w:r>
      <w:r w:rsidR="002D3CD6">
        <w:instrText xml:space="preserve"> REF _Ref54000643 \h </w:instrText>
      </w:r>
      <w:r w:rsidR="002D3CD6">
        <w:fldChar w:fldCharType="separate"/>
      </w:r>
      <w:r w:rsidR="00A74C32">
        <w:t xml:space="preserve">Appendix </w:t>
      </w:r>
      <w:r w:rsidR="00A74C32">
        <w:rPr>
          <w:noProof/>
        </w:rPr>
        <w:t>8</w:t>
      </w:r>
      <w:r w:rsidR="002D3CD6">
        <w:fldChar w:fldCharType="end"/>
      </w:r>
      <w:r w:rsidR="002D3CD6">
        <w:t>.</w:t>
      </w:r>
      <w:r w:rsidR="00237432">
        <w:t>)</w:t>
      </w:r>
      <w:r>
        <w:rPr>
          <w:rStyle w:val="EndnoteReference"/>
        </w:rPr>
        <w:endnoteReference w:id="44"/>
      </w:r>
      <w:r>
        <w:t xml:space="preserve"> </w:t>
      </w:r>
    </w:p>
    <w:p w14:paraId="11013820" w14:textId="191691DB" w:rsidR="002D3CD6" w:rsidRDefault="002D3CD6" w:rsidP="002B134F">
      <w:pPr>
        <w:pStyle w:val="FRPCintPara"/>
      </w:pPr>
      <w:r>
        <w:t xml:space="preserve">Altogether the CAB proposes six types of changes to address private broadcasters’ concerns.  These are discussed below.  </w:t>
      </w:r>
    </w:p>
    <w:p w14:paraId="48E38982" w14:textId="6FE6F3E8" w:rsidR="00054CDE" w:rsidRDefault="00054CDE" w:rsidP="00643FE7">
      <w:pPr>
        <w:pStyle w:val="Heading3"/>
      </w:pPr>
      <w:bookmarkStart w:id="21" w:name="_Toc54021164"/>
      <w:r>
        <w:t>Local Management / sales Agreements (LMAs)</w:t>
      </w:r>
      <w:bookmarkEnd w:id="21"/>
    </w:p>
    <w:p w14:paraId="05541377" w14:textId="328E206D" w:rsidR="00054CDE" w:rsidRDefault="00054CDE" w:rsidP="002B134F">
      <w:pPr>
        <w:pStyle w:val="FRPCintPara"/>
      </w:pPr>
      <w:r>
        <w:t>LMAs are negotiated between radio stations so that management and sales resources can be shared.  In 1999 the CRTC set out its requirements for these arrangements:</w:t>
      </w:r>
    </w:p>
    <w:p w14:paraId="117EB72A" w14:textId="1315215E" w:rsidR="00054CDE" w:rsidRDefault="00054CDE" w:rsidP="00150831">
      <w:pPr>
        <w:pStyle w:val="BulletText"/>
      </w:pPr>
      <w:r>
        <w:t>No change in effective control</w:t>
      </w:r>
    </w:p>
    <w:p w14:paraId="2CADD5D6" w14:textId="18E9F570" w:rsidR="00054CDE" w:rsidRDefault="00054CDE" w:rsidP="00150831">
      <w:pPr>
        <w:pStyle w:val="BulletText"/>
      </w:pPr>
      <w:r>
        <w:t>Maintenance of “distinct and separate programming and news services”</w:t>
      </w:r>
    </w:p>
    <w:p w14:paraId="62798F5E" w14:textId="5AB5BC6A" w:rsidR="00054CDE" w:rsidRDefault="00054CDE" w:rsidP="00150831">
      <w:pPr>
        <w:pStyle w:val="BulletText"/>
      </w:pPr>
      <w:r>
        <w:t>Licensees maintain responsibility for management (including the program director, news director and any other related staff)</w:t>
      </w:r>
    </w:p>
    <w:p w14:paraId="090A1430" w14:textId="65D4B18B" w:rsidR="00054CDE" w:rsidRDefault="00054CDE" w:rsidP="00150831">
      <w:pPr>
        <w:pStyle w:val="BulletText"/>
      </w:pPr>
      <w:r>
        <w:t>Assets continue to be owned by the individual licensees</w:t>
      </w:r>
    </w:p>
    <w:p w14:paraId="7EA6A966" w14:textId="77777777" w:rsidR="00054CDE" w:rsidRDefault="00054CDE" w:rsidP="00150831">
      <w:pPr>
        <w:pStyle w:val="BulletText"/>
      </w:pPr>
      <w:r>
        <w:t>Generally</w:t>
      </w:r>
    </w:p>
    <w:p w14:paraId="1465A6D0" w14:textId="37F00173" w:rsidR="00054CDE" w:rsidRDefault="00054CDE" w:rsidP="00150831">
      <w:pPr>
        <w:pStyle w:val="BulletText"/>
        <w:ind w:left="2160"/>
      </w:pPr>
      <w:r>
        <w:t>involve unprofitable stations</w:t>
      </w:r>
    </w:p>
    <w:p w14:paraId="0D747AF0" w14:textId="23580011" w:rsidR="00054CDE" w:rsidRDefault="00054CDE" w:rsidP="00150831">
      <w:pPr>
        <w:pStyle w:val="BulletText"/>
        <w:ind w:left="2160"/>
      </w:pPr>
      <w:r>
        <w:t>no more than the number of undertakings that the CRTC’s ownership policy allows under common ownership (unless there are exceptional circumstances)</w:t>
      </w:r>
    </w:p>
    <w:p w14:paraId="42F02459" w14:textId="745B098E" w:rsidR="00054CDE" w:rsidRDefault="00054CDE" w:rsidP="00150831">
      <w:pPr>
        <w:pStyle w:val="BulletText"/>
        <w:ind w:left="2160"/>
      </w:pPr>
      <w:r>
        <w:t>limited to a specific term, and</w:t>
      </w:r>
    </w:p>
    <w:p w14:paraId="2A8E6357" w14:textId="7247EE13" w:rsidR="00054CDE" w:rsidRDefault="00054CDE" w:rsidP="00470EBC">
      <w:pPr>
        <w:pStyle w:val="BulletText"/>
        <w:ind w:left="2160"/>
      </w:pPr>
      <w:r>
        <w:t>represent a temporary alternative business model that allows broadcasters to improve their performance.</w:t>
      </w:r>
      <w:r>
        <w:rPr>
          <w:rStyle w:val="EndnoteReference"/>
        </w:rPr>
        <w:endnoteReference w:id="45"/>
      </w:r>
    </w:p>
    <w:p w14:paraId="4C854D3B" w14:textId="77777777" w:rsidR="00054CDE" w:rsidRDefault="00054CDE" w:rsidP="00736696">
      <w:pPr>
        <w:pStyle w:val="BulletText"/>
        <w:numPr>
          <w:ilvl w:val="0"/>
          <w:numId w:val="0"/>
        </w:numPr>
        <w:ind w:left="2160"/>
      </w:pPr>
    </w:p>
    <w:p w14:paraId="55E76FE4" w14:textId="4C160FE5" w:rsidR="00054CDE" w:rsidRDefault="002D3CD6" w:rsidP="002B134F">
      <w:pPr>
        <w:pStyle w:val="FRPCintPara"/>
      </w:pPr>
      <w:r>
        <w:t xml:space="preserve">The </w:t>
      </w:r>
      <w:r w:rsidR="00054CDE">
        <w:t>CAB argues that time for regulatory approval “and highly restrictive criteria” leave LMA’s out of reach of “highly at-risk stations”.</w:t>
      </w:r>
      <w:r w:rsidR="00054CDE">
        <w:rPr>
          <w:rStyle w:val="EndnoteReference"/>
        </w:rPr>
        <w:endnoteReference w:id="46"/>
      </w:r>
      <w:r w:rsidR="00054CDE">
        <w:t xml:space="preserve">  </w:t>
      </w:r>
      <w:r w:rsidR="0037561E">
        <w:t>It</w:t>
      </w:r>
      <w:r w:rsidR="00054CDE">
        <w:t xml:space="preserve"> has not specified which </w:t>
      </w:r>
      <w:r w:rsidR="0037561E">
        <w:t>of the CRTC’s c</w:t>
      </w:r>
      <w:r w:rsidR="00054CDE">
        <w:t>riteria are highly restrict</w:t>
      </w:r>
      <w:r w:rsidR="0037561E">
        <w:t>ive</w:t>
      </w:r>
      <w:r w:rsidR="00054CDE">
        <w:t xml:space="preserve">.  </w:t>
      </w:r>
    </w:p>
    <w:p w14:paraId="2A71E421" w14:textId="4F3A296D" w:rsidR="00054CDE" w:rsidRDefault="00054CDE" w:rsidP="002B134F">
      <w:pPr>
        <w:pStyle w:val="FRPCintPara"/>
      </w:pPr>
      <w:r>
        <w:t>The CAB asks that the CRTC to suspend its current restrictions on, and requirement for prior Commission approval of, LMAs for 18 months.</w:t>
      </w:r>
      <w:r>
        <w:rPr>
          <w:rStyle w:val="EndnoteReference"/>
        </w:rPr>
        <w:endnoteReference w:id="47"/>
      </w:r>
      <w:r>
        <w:t xml:space="preserve"> The CAB notes that the CRTC’s current process for dealing with LMAs now takes four to eight months.</w:t>
      </w:r>
      <w:r>
        <w:rPr>
          <w:rStyle w:val="EndnoteReference"/>
        </w:rPr>
        <w:endnoteReference w:id="48"/>
      </w:r>
      <w:r>
        <w:t xml:space="preserve"> It argues that at least 10 to 15 “local broadcast stations could be saved, and continue to provide some </w:t>
      </w:r>
      <w:r>
        <w:lastRenderedPageBreak/>
        <w:t>local programming and local news”.</w:t>
      </w:r>
      <w:r>
        <w:rPr>
          <w:rStyle w:val="EndnoteReference"/>
        </w:rPr>
        <w:endnoteReference w:id="49"/>
      </w:r>
      <w:r>
        <w:t xml:space="preserve">  While noting the CRTC’s previous concerns that LMAs may reduce programming diversity and competition, the CAB argues that the exceptionality of the Covid-19 pandemic renders these concerns moot.</w:t>
      </w:r>
      <w:r>
        <w:rPr>
          <w:rStyle w:val="EndnoteReference"/>
        </w:rPr>
        <w:endnoteReference w:id="50"/>
      </w:r>
      <w:r>
        <w:t xml:space="preserve"> In any event, says the CAB, the CRTC could continue to address complaints about LMAs.</w:t>
      </w:r>
    </w:p>
    <w:p w14:paraId="6A2F5189" w14:textId="55FB32FA" w:rsidR="0037561E" w:rsidRDefault="007D6DDA" w:rsidP="00520A91">
      <w:pPr>
        <w:pStyle w:val="FRPCintPara"/>
      </w:pPr>
      <w:bookmarkStart w:id="22" w:name="_Ref53989432"/>
      <w:r>
        <w:t>While the CAB’s application refers to 20 LMAs involving its radio members,</w:t>
      </w:r>
      <w:r>
        <w:rPr>
          <w:rStyle w:val="EndnoteReference"/>
        </w:rPr>
        <w:endnoteReference w:id="51"/>
      </w:r>
      <w:r>
        <w:t xml:space="preserve"> t</w:t>
      </w:r>
      <w:r w:rsidR="00054CDE">
        <w:t xml:space="preserve">he </w:t>
      </w:r>
      <w:r w:rsidR="0037561E">
        <w:t xml:space="preserve">CAB’s application does not </w:t>
      </w:r>
      <w:r w:rsidR="00054CDE">
        <w:t>estimate the financial savings that relaxing LMA criteria would yield</w:t>
      </w:r>
      <w:r w:rsidR="0037561E">
        <w:t xml:space="preserve"> or</w:t>
      </w:r>
      <w:r w:rsidR="00054CDE">
        <w:t xml:space="preserve"> whether an increase in the number of LMAs would result in job losses.  It is not clear whether the CAB is suggesting that LMAs be formed between radio and television stations, radio stations alone or television stations alone</w:t>
      </w:r>
      <w:r w:rsidR="0037561E">
        <w:t>, or w</w:t>
      </w:r>
      <w:r w:rsidR="00054CDE">
        <w:t xml:space="preserve">hether </w:t>
      </w:r>
      <w:r w:rsidR="0037561E">
        <w:t xml:space="preserve">the </w:t>
      </w:r>
      <w:r w:rsidR="00054CDE">
        <w:t>CAB considers that these arrangements will remain temporary</w:t>
      </w:r>
      <w:r w:rsidR="00387461">
        <w:t>, or whether parties to an LMA could be profitable.</w:t>
      </w:r>
      <w:r w:rsidR="00054CDE">
        <w:t xml:space="preserve">  It is also unclear who would submit complaints to the CRTC about LMAs, unless the CAB envisages regular notifications to the public that stations are being jointly operated</w:t>
      </w:r>
      <w:r w:rsidR="0037561E">
        <w:t xml:space="preserve">, or where these complaints would </w:t>
      </w:r>
      <w:r w:rsidR="00387461">
        <w:t xml:space="preserve">actually </w:t>
      </w:r>
      <w:r w:rsidR="0037561E">
        <w:t>be sent (to the CRTC?)</w:t>
      </w:r>
      <w:r w:rsidR="00054CDE">
        <w:t xml:space="preserve">.  it is unclear – given the CAB’s desire to minimize or eliminate reporting requirements – whether the CRTC would be able to determine that licensees had maintained separate responsibility for their </w:t>
      </w:r>
      <w:r w:rsidR="0037561E">
        <w:t xml:space="preserve">respective </w:t>
      </w:r>
      <w:r w:rsidR="00054CDE">
        <w:t>news program</w:t>
      </w:r>
      <w:r w:rsidR="0037561E">
        <w:t>s</w:t>
      </w:r>
      <w:r w:rsidR="00054CDE">
        <w:t>.</w:t>
      </w:r>
      <w:bookmarkEnd w:id="22"/>
      <w:r w:rsidR="008E7CBF">
        <w:t xml:space="preserve">  Finally, i</w:t>
      </w:r>
      <w:r w:rsidR="0037561E">
        <w:t xml:space="preserve">t is also somewhat unclear from the CAB’s application whether or when it believes the CRTC ought to re-adopt its pre-Covid-19 approach to LMAs.  </w:t>
      </w:r>
    </w:p>
    <w:p w14:paraId="12FDCB70" w14:textId="2B073A47" w:rsidR="00054CDE" w:rsidRPr="0029693E" w:rsidRDefault="00054CDE" w:rsidP="002B134F">
      <w:pPr>
        <w:pStyle w:val="FRPCintPara"/>
      </w:pPr>
      <w:r>
        <w:t xml:space="preserve">In the absence of </w:t>
      </w:r>
      <w:r w:rsidR="00520A91">
        <w:t xml:space="preserve">the information set out above </w:t>
      </w:r>
      <w:r>
        <w:t xml:space="preserve">the Forum </w:t>
      </w:r>
      <w:r w:rsidR="00A036B6">
        <w:t>is unable to</w:t>
      </w:r>
      <w:r>
        <w:t xml:space="preserve"> support this element of CAB’s application. </w:t>
      </w:r>
    </w:p>
    <w:p w14:paraId="1B471374" w14:textId="12544BFA" w:rsidR="00054CDE" w:rsidRDefault="00054CDE" w:rsidP="00643FE7">
      <w:pPr>
        <w:pStyle w:val="Heading3"/>
      </w:pPr>
      <w:bookmarkStart w:id="23" w:name="_Toc54021165"/>
      <w:r>
        <w:t>Deemed compliance with CCD and other requirements</w:t>
      </w:r>
      <w:bookmarkEnd w:id="23"/>
    </w:p>
    <w:p w14:paraId="7F358535" w14:textId="126EAB14" w:rsidR="00054CDE" w:rsidRDefault="00054CDE" w:rsidP="002B134F">
      <w:pPr>
        <w:pStyle w:val="FRPCintPara"/>
      </w:pPr>
      <w:r>
        <w:t>The CRTC sets both exhibition and expenditure requirements for radio and television licensees through conditions of licence.  Although Parliament established that licensees that breach their conditions of licence may be guilty of an offence punishable on summary conviction and liable to thousands of dollars in fines,</w:t>
      </w:r>
      <w:r>
        <w:rPr>
          <w:rStyle w:val="EndnoteReference"/>
        </w:rPr>
        <w:endnoteReference w:id="52"/>
      </w:r>
      <w:r>
        <w:t xml:space="preserve"> the CRTC instead relies on its own policy for radio licensees’ non-compliance </w:t>
      </w:r>
      <w:r w:rsidR="00A036B6">
        <w:t>utilizing</w:t>
      </w:r>
      <w:r>
        <w:t xml:space="preserve"> regulatory and licensing requirements; it does not have a similar policy for television licensees’ non-compliance. </w:t>
      </w:r>
    </w:p>
    <w:p w14:paraId="70CF6F81" w14:textId="77777777" w:rsidR="00054CDE" w:rsidRDefault="00054CDE" w:rsidP="002B134F">
      <w:pPr>
        <w:pStyle w:val="FRPCintPara"/>
      </w:pPr>
      <w:r>
        <w:t xml:space="preserve">CAB argues in part that there are </w:t>
      </w:r>
      <w:bookmarkStart w:id="24" w:name="_Hlk53925249"/>
      <w:r>
        <w:t>“unknown and potentially severe” legal, operational and financial consequences for non-compliance</w:t>
      </w:r>
      <w:bookmarkEnd w:id="24"/>
      <w:r>
        <w:t>.</w:t>
      </w:r>
      <w:r>
        <w:rPr>
          <w:rStyle w:val="EndnoteReference"/>
        </w:rPr>
        <w:endnoteReference w:id="53"/>
      </w:r>
      <w:r>
        <w:t xml:space="preserve"> It therefore asks the CRTC </w:t>
      </w:r>
      <w:r w:rsidRPr="001D250C">
        <w:t>to adopt “a policy of deemed compliance” for expenditure requirements</w:t>
      </w:r>
      <w:r w:rsidRPr="001D250C">
        <w:rPr>
          <w:vertAlign w:val="superscript"/>
        </w:rPr>
        <w:endnoteReference w:id="54"/>
      </w:r>
      <w:r w:rsidRPr="001D250C">
        <w:t xml:space="preserve"> so that unless the CRTC has evidence of bad faith it would</w:t>
      </w:r>
      <w:r>
        <w:t xml:space="preserve"> </w:t>
      </w:r>
      <w:r w:rsidRPr="001D250C">
        <w:t>consider licensees compliant with their conditions of licence and with the CRTC’s regulations regardless of their actual expenditure levels (para. 22</w:t>
      </w:r>
      <w:r>
        <w:t xml:space="preserve">). </w:t>
      </w:r>
    </w:p>
    <w:p w14:paraId="17BCA79A" w14:textId="1E5827BF" w:rsidR="00054CDE" w:rsidRDefault="00054CDE" w:rsidP="002B134F">
      <w:pPr>
        <w:pStyle w:val="FRPCintPara"/>
      </w:pPr>
      <w:r>
        <w:t>Specifically, it asks the CRTC in the case of radio to</w:t>
      </w:r>
    </w:p>
    <w:p w14:paraId="5BEE8126" w14:textId="3D463E43" w:rsidR="00054CDE" w:rsidRPr="001D250C" w:rsidRDefault="00054CDE" w:rsidP="00955E00">
      <w:pPr>
        <w:pStyle w:val="BulletText"/>
      </w:pPr>
      <w:r w:rsidRPr="00955E00">
        <w:t xml:space="preserve"> </w:t>
      </w:r>
      <w:r w:rsidRPr="001D250C">
        <w:t xml:space="preserve">allow radio stations to reduce their overall Canadian content development </w:t>
      </w:r>
      <w:r>
        <w:t>(CCD)</w:t>
      </w:r>
      <w:r w:rsidRPr="001D250C">
        <w:t xml:space="preserve"> obligations for 2019/20 (para. 41) with ‘normal’ CCD payments resuming in 2020/21 (para 43)</w:t>
      </w:r>
    </w:p>
    <w:p w14:paraId="67DD67F8" w14:textId="19419B6F" w:rsidR="00054CDE" w:rsidRPr="001D250C" w:rsidRDefault="00054CDE" w:rsidP="00955E00">
      <w:pPr>
        <w:pStyle w:val="BulletText"/>
      </w:pPr>
      <w:r w:rsidRPr="001D250C">
        <w:lastRenderedPageBreak/>
        <w:t>allow radio stations to carry forward to and use in 2020/21 any CCD payments that radio stations made in 2019/20 but which were not actually expended (para 40)</w:t>
      </w:r>
      <w:r w:rsidR="00A036B6">
        <w:t xml:space="preserve"> journalism </w:t>
      </w:r>
    </w:p>
    <w:p w14:paraId="6727961F" w14:textId="07DEB171" w:rsidR="00054CDE" w:rsidRDefault="00054CDE" w:rsidP="00CC7697">
      <w:pPr>
        <w:pStyle w:val="BulletText"/>
      </w:pPr>
      <w:r>
        <w:t>c</w:t>
      </w:r>
      <w:r w:rsidRPr="001D250C">
        <w:t>larif</w:t>
      </w:r>
      <w:r>
        <w:t xml:space="preserve">y </w:t>
      </w:r>
      <w:r w:rsidRPr="001D250C">
        <w:t>radio broadcasters’ treatment of CCD expenditures (paras. 39-40)</w:t>
      </w:r>
      <w:r>
        <w:t>.</w:t>
      </w:r>
    </w:p>
    <w:p w14:paraId="0549EE42" w14:textId="004601EB" w:rsidR="00054CDE" w:rsidRDefault="00054CDE" w:rsidP="00E822A7">
      <w:pPr>
        <w:pStyle w:val="BulletText"/>
        <w:numPr>
          <w:ilvl w:val="0"/>
          <w:numId w:val="0"/>
        </w:numPr>
        <w:ind w:left="1440" w:hanging="720"/>
      </w:pPr>
    </w:p>
    <w:p w14:paraId="3D6A68D6" w14:textId="28DFE335" w:rsidR="00054CDE" w:rsidRPr="003E7859" w:rsidRDefault="00054CDE" w:rsidP="00F31A28">
      <w:pPr>
        <w:pStyle w:val="FRPCintPara"/>
      </w:pPr>
      <w:bookmarkStart w:id="25" w:name="_Ref53989476"/>
      <w:r>
        <w:t>From 2014 to 2018 private radio stations allocated an average of $48 million/year to (</w:t>
      </w:r>
      <w:r>
        <w:fldChar w:fldCharType="begin"/>
      </w:r>
      <w:r>
        <w:instrText xml:space="preserve"> REF _Ref53988259 \h </w:instrText>
      </w:r>
      <w:r w:rsidR="00151FED">
        <w:instrText xml:space="preserve"> \* MERGEFORMAT </w:instrText>
      </w:r>
      <w:r>
        <w:fldChar w:fldCharType="separate"/>
      </w:r>
      <w:r w:rsidR="00A74C32">
        <w:t xml:space="preserve">Appendix </w:t>
      </w:r>
      <w:r w:rsidR="00A74C32">
        <w:rPr>
          <w:noProof/>
        </w:rPr>
        <w:t>9</w:t>
      </w:r>
      <w:r>
        <w:fldChar w:fldCharType="end"/>
      </w:r>
      <w:r>
        <w:t>), which represents 8.7% of the $896 million in losses that private broadcasters now face.</w:t>
      </w:r>
      <w:bookmarkEnd w:id="25"/>
      <w:r>
        <w:t xml:space="preserve">   </w:t>
      </w:r>
    </w:p>
    <w:p w14:paraId="416FB72D" w14:textId="4D36DEB6" w:rsidR="00054CDE" w:rsidRDefault="00054CDE" w:rsidP="00A74C32">
      <w:pPr>
        <w:pStyle w:val="FRPCintPara"/>
      </w:pPr>
      <w:r>
        <w:t>Private television broadcasters’ expenditures on Canadian programming (CPE) and programming of national interest (PNI) may also be at risk.  The CRTC currently tailors these requirements to the circumstances of individual licensees and implementation of Parliament’s broadcasting policy.</w:t>
      </w:r>
      <w:r>
        <w:rPr>
          <w:rStyle w:val="EndnoteReference"/>
        </w:rPr>
        <w:endnoteReference w:id="55"/>
      </w:r>
      <w:r>
        <w:t xml:space="preserve">   Private television services are </w:t>
      </w:r>
      <w:r w:rsidR="00520A91">
        <w:t xml:space="preserve">at present </w:t>
      </w:r>
      <w:r>
        <w:t xml:space="preserve">required to allocate a specified percentage of their previous year’s revenues to their current expenditures on Canadian programming, and may reduce spending by up to 5% in any given year provided they make up that short fall the following year.  In 2018/19 private television station’s Canadian programming expenditures (CPE) amounted to $669 million:  </w:t>
      </w:r>
      <w:r w:rsidR="00151FED">
        <w:fldChar w:fldCharType="begin"/>
      </w:r>
      <w:r w:rsidR="00151FED">
        <w:instrText xml:space="preserve"> REF _Ref54021873 \h </w:instrText>
      </w:r>
      <w:r w:rsidR="00151FED">
        <w:fldChar w:fldCharType="separate"/>
      </w:r>
      <w:r w:rsidR="00A74C32">
        <w:t xml:space="preserve">Appendix </w:t>
      </w:r>
      <w:r w:rsidR="00A74C32">
        <w:rPr>
          <w:noProof/>
        </w:rPr>
        <w:t>9</w:t>
      </w:r>
      <w:r w:rsidR="00151FED">
        <w:fldChar w:fldCharType="end"/>
      </w:r>
      <w:r>
        <w:t>.  The CRTC recently granted a request by Corus – made before the pandemic – to increase its allowable CPE reduction from 5% to 10%, but denied its request to make up the expenditure shortfall over the licence term on the grounds that this change would lead to excessive volatility.</w:t>
      </w:r>
      <w:r>
        <w:rPr>
          <w:rStyle w:val="EndnoteReference"/>
        </w:rPr>
        <w:endnoteReference w:id="56"/>
      </w:r>
    </w:p>
    <w:p w14:paraId="2DB7E732" w14:textId="1582FAE0" w:rsidR="00054CDE" w:rsidRDefault="00054CDE" w:rsidP="00F8518C">
      <w:pPr>
        <w:pStyle w:val="FRPCintPara"/>
      </w:pPr>
      <w:r>
        <w:t>The CAB appears to suggest not just that broadcasters are shifting some of these resources into local news, but</w:t>
      </w:r>
      <w:r w:rsidR="00151FED">
        <w:t xml:space="preserve"> also</w:t>
      </w:r>
      <w:r>
        <w:t xml:space="preserve"> </w:t>
      </w:r>
      <w:r w:rsidR="00520A91">
        <w:t xml:space="preserve">that they </w:t>
      </w:r>
      <w:r>
        <w:t>may also forgo some of these expenditures altogether.</w:t>
      </w:r>
      <w:r>
        <w:rPr>
          <w:rStyle w:val="EndnoteReference"/>
        </w:rPr>
        <w:endnoteReference w:id="57"/>
      </w:r>
      <w:r>
        <w:t xml:space="preserve">  It raises the concern of ‘</w:t>
      </w:r>
      <w:r w:rsidRPr="00363F3D">
        <w:t>unknown and potentially severe</w:t>
      </w:r>
      <w:r>
        <w:t>’</w:t>
      </w:r>
      <w:r w:rsidRPr="00363F3D">
        <w:t xml:space="preserve"> legal, operational and financial consequences for non-compliance</w:t>
      </w:r>
      <w:r>
        <w:t xml:space="preserve"> with requirements for CPE, PNI and CCD. </w:t>
      </w:r>
    </w:p>
    <w:p w14:paraId="5D5AC9EF" w14:textId="5CDF2E3A" w:rsidR="00054CDE" w:rsidRDefault="00054CDE" w:rsidP="00DF4B5C">
      <w:pPr>
        <w:pStyle w:val="FRPCintPara"/>
      </w:pPr>
      <w:r>
        <w:t>Insofar as potentially severe legal consequences for regulatory non-compliance are concerned, the Forum notes that the CRTC’s own policies and practices have for years sought to encourage regulatory compliance with a combination of short-term licence renewals and the denial of amendments sought to non-compliant broadcasters.  The CRTC has used revocations and non-renewals very rarely,</w:t>
      </w:r>
      <w:r>
        <w:rPr>
          <w:rStyle w:val="EndnoteReference"/>
        </w:rPr>
        <w:endnoteReference w:id="58"/>
      </w:r>
      <w:r>
        <w:t xml:space="preserve"> and to the best of our knowledge never without several attempts (through short-term renewals) to enable a broadcaster to become compliant.  </w:t>
      </w:r>
      <w:r w:rsidR="00520A91">
        <w:t>In the Forum’s view, past practice wou</w:t>
      </w:r>
      <w:r w:rsidR="00151FED">
        <w:t>l</w:t>
      </w:r>
      <w:r w:rsidR="00520A91">
        <w:t xml:space="preserve">d seem to make it </w:t>
      </w:r>
      <w:r>
        <w:t xml:space="preserve">highly unlikely that the CRTC would decide to revoke or decline to renew a broadcaster’s licence for non-compliance resulting from the Covid-19 pandemic. </w:t>
      </w:r>
    </w:p>
    <w:p w14:paraId="635F59C5" w14:textId="5D5E966E" w:rsidR="00054CDE" w:rsidRDefault="00054CDE" w:rsidP="002B134F">
      <w:pPr>
        <w:pStyle w:val="FRPCintPara"/>
      </w:pPr>
      <w:r>
        <w:t>That said, it also seems unlikely that the CRTC would condone the complete cancellation of all CPE expenditures by private conventional television broadcasters in 2020/21 and 2021/22, not simply because this could have grave consequences for Canada’s program production sector, but because Canadians would then be deprived of the Canadian programming that the CRTC was established to protect.</w:t>
      </w:r>
    </w:p>
    <w:p w14:paraId="60FFD51A" w14:textId="74B37D76" w:rsidR="00054CDE" w:rsidRDefault="00054CDE" w:rsidP="002B134F">
      <w:pPr>
        <w:pStyle w:val="FRPCintPara"/>
      </w:pPr>
      <w:r>
        <w:lastRenderedPageBreak/>
        <w:t>The CAB also did not indicate how much money radio licensees would save by reducing their 2019/20 CCD expenditures, although as we show above, the complete cancellation of all CCD payments in 2019/20 would represent approximately $48 million or 8.7% of private broadcasters’ projected loss for that year.  It remains unclear what impact the cancellation of these payments will subsequently have on the stakeholders and workers who might otherwise have benefitted from the payments.</w:t>
      </w:r>
    </w:p>
    <w:p w14:paraId="3E7214A1" w14:textId="77777777" w:rsidR="00054CDE" w:rsidRDefault="00054CDE" w:rsidP="00955E00">
      <w:pPr>
        <w:pStyle w:val="Heading3"/>
      </w:pPr>
      <w:bookmarkStart w:id="26" w:name="_Toc54021166"/>
      <w:r>
        <w:t>Replace local programming with group, regional or national programming</w:t>
      </w:r>
      <w:bookmarkEnd w:id="26"/>
      <w:r>
        <w:t xml:space="preserve"> </w:t>
      </w:r>
    </w:p>
    <w:p w14:paraId="55860AC3" w14:textId="2257C947" w:rsidR="00054CDE" w:rsidRDefault="00054CDE" w:rsidP="002B134F">
      <w:pPr>
        <w:pStyle w:val="FRPCintPara"/>
      </w:pPr>
      <w:r>
        <w:t>Requirements for private television stations to provide local programming are set by condition of licence.  For English-language stations they vary from 7 hours/week (in small locations) to 14 hours/week (in larger locations), while French-language stations must provide a minimum of five hours of local programming per week.</w:t>
      </w:r>
      <w:r>
        <w:rPr>
          <w:rStyle w:val="EndnoteReference"/>
        </w:rPr>
        <w:endnoteReference w:id="59"/>
      </w:r>
      <w:r>
        <w:t xml:space="preserve"> As for radio, commercial FM radio stations must devote one-third of the broadcast week to local programming if they want to solicit or accept local advertising,</w:t>
      </w:r>
      <w:r>
        <w:rPr>
          <w:rStyle w:val="EndnoteReference"/>
        </w:rPr>
        <w:endnoteReference w:id="60"/>
      </w:r>
      <w:r>
        <w:t xml:space="preserve"> while commercial AM stations’ local programming requirements are set case by case.</w:t>
      </w:r>
      <w:r>
        <w:rPr>
          <w:rStyle w:val="EndnoteReference"/>
        </w:rPr>
        <w:endnoteReference w:id="61"/>
      </w:r>
      <w:r>
        <w:t xml:space="preserve">  These requirements were </w:t>
      </w:r>
      <w:r w:rsidR="00520A91">
        <w:t>established</w:t>
      </w:r>
      <w:r>
        <w:t xml:space="preserve"> by the CRTC in response to concerns expressed by Canadian</w:t>
      </w:r>
      <w:r w:rsidR="007344F3">
        <w:t xml:space="preserve"> audience</w:t>
      </w:r>
      <w:r>
        <w:t>s about inadequate levels of local news.</w:t>
      </w:r>
      <w:r>
        <w:rPr>
          <w:rStyle w:val="EndnoteReference"/>
        </w:rPr>
        <w:endnoteReference w:id="62"/>
      </w:r>
      <w:r>
        <w:t xml:space="preserve"> </w:t>
      </w:r>
    </w:p>
    <w:p w14:paraId="3212D9C2" w14:textId="1D3D58CE" w:rsidR="00054CDE" w:rsidRDefault="00054CDE" w:rsidP="002B134F">
      <w:pPr>
        <w:pStyle w:val="FRPCintPara"/>
      </w:pPr>
      <w:r>
        <w:t>CAB says initially that broadcasters have “shifted resources, including programming resources, to their news and information programming”</w:t>
      </w:r>
      <w:r>
        <w:rPr>
          <w:rStyle w:val="EndnoteReference"/>
        </w:rPr>
        <w:endnoteReference w:id="63"/>
      </w:r>
      <w:r>
        <w:t xml:space="preserve"> although it does not quantify this shift in resources.  It then asks that the CRTC r</w:t>
      </w:r>
      <w:r w:rsidRPr="001D250C">
        <w:t>ecognize and permit CAB members to rely more heavily on group, regional or national programming to meet their local programming requirements (para. 44)</w:t>
      </w:r>
      <w:r>
        <w:t xml:space="preserve">, and that the Commission “refrain from auditing broadcasters’ locally reflective news and local programming requirements for the latter half of the 2019-2020 broadcast year” (para. 47).  </w:t>
      </w:r>
    </w:p>
    <w:p w14:paraId="30752C1A" w14:textId="72C48465" w:rsidR="00054CDE" w:rsidRDefault="00054CDE" w:rsidP="002B134F">
      <w:pPr>
        <w:pStyle w:val="FRPCintPara"/>
      </w:pPr>
      <w:bookmarkStart w:id="27" w:name="_Ref53989549"/>
      <w:r>
        <w:t xml:space="preserve">CAB did not clarify how much programming would be involved, and provided no evidence about the number of hours of local programming or original local news currently being produced and broadcast by Canada’s local television and radio stations.  The CRTC does not publish this information either, although it receives reports from television broadcasters every month when they submit logs of their programming.  In 2015 the Forum analyzed some of the logs submitted to the CRTC and found that CIVI-DT Victoria claimed a radio newscast from CFAX Victoria as original and local television news for the previous six years; we also found that </w:t>
      </w:r>
      <w:r w:rsidR="007344F3">
        <w:t xml:space="preserve">both </w:t>
      </w:r>
      <w:r>
        <w:t>Rogers and CBC had begun to broadcast radio on their television news stations.</w:t>
      </w:r>
      <w:r>
        <w:rPr>
          <w:rStyle w:val="EndnoteReference"/>
        </w:rPr>
        <w:endnoteReference w:id="64"/>
      </w:r>
      <w:r>
        <w:t xml:space="preserve"> In 2016 the Forum noted that several other cases when private TV stations rebroadcast local news from other stations.</w:t>
      </w:r>
      <w:r>
        <w:rPr>
          <w:rStyle w:val="EndnoteReference"/>
        </w:rPr>
        <w:endnoteReference w:id="65"/>
      </w:r>
      <w:r>
        <w:t xml:space="preserve">  It is our understanding that the practice of swapping programming between radio and television stations has continued.</w:t>
      </w:r>
      <w:bookmarkEnd w:id="27"/>
    </w:p>
    <w:p w14:paraId="3FFAEE42" w14:textId="0068795D" w:rsidR="00054CDE" w:rsidRDefault="00054CDE" w:rsidP="002B134F">
      <w:pPr>
        <w:pStyle w:val="FRPCintPara"/>
      </w:pPr>
      <w:bookmarkStart w:id="28" w:name="_Ref53989529"/>
      <w:r>
        <w:t xml:space="preserve">The CAB’s application has not provided evidence of the financial impact of reducing local programming.  While the CRTC publishes information about private television broadcasters’ expenditures on local station productions, it only publishes total program expenditures for private radio stations.  Using the same general approach as before – applying the 5-year CAGR percentage to the 2018/19 financial results reported by the </w:t>
      </w:r>
      <w:r>
        <w:lastRenderedPageBreak/>
        <w:t>CRTC, a 50% reduction in local radio and television expenditures could amount to $452 million in 2019/20</w:t>
      </w:r>
      <w:r w:rsidR="00310427">
        <w:t xml:space="preserve">:  </w:t>
      </w:r>
      <w:r w:rsidR="00310427">
        <w:fldChar w:fldCharType="begin"/>
      </w:r>
      <w:r w:rsidR="00310427">
        <w:instrText xml:space="preserve"> REF _Ref54003929 \h </w:instrText>
      </w:r>
      <w:r w:rsidR="00310427">
        <w:fldChar w:fldCharType="separate"/>
      </w:r>
      <w:r w:rsidR="00A74C32">
        <w:t xml:space="preserve">Table </w:t>
      </w:r>
      <w:r w:rsidR="00A74C32">
        <w:rPr>
          <w:noProof/>
        </w:rPr>
        <w:t>4</w:t>
      </w:r>
      <w:r w:rsidR="00310427">
        <w:fldChar w:fldCharType="end"/>
      </w:r>
      <w:r>
        <w:t>.</w:t>
      </w:r>
      <w:bookmarkEnd w:id="28"/>
    </w:p>
    <w:p w14:paraId="6D5260AC" w14:textId="697A6104" w:rsidR="007344F3" w:rsidRDefault="007344F3" w:rsidP="007344F3">
      <w:pPr>
        <w:pStyle w:val="Caption"/>
        <w:keepNext/>
      </w:pPr>
      <w:bookmarkStart w:id="29" w:name="_Ref54003929"/>
      <w:bookmarkStart w:id="30" w:name="_Toc54017097"/>
      <w:r>
        <w:t xml:space="preserve">Table </w:t>
      </w:r>
      <w:fldSimple w:instr=" SEQ Table \* ARABIC ">
        <w:r w:rsidR="00A74C32">
          <w:rPr>
            <w:noProof/>
          </w:rPr>
          <w:t>4</w:t>
        </w:r>
      </w:fldSimple>
      <w:bookmarkEnd w:id="29"/>
      <w:r>
        <w:tab/>
        <w:t>Estimated impact of CAB’s proposal on local programming expenditures</w:t>
      </w:r>
      <w:bookmarkEnd w:id="30"/>
    </w:p>
    <w:tbl>
      <w:tblPr>
        <w:tblW w:w="8550" w:type="dxa"/>
        <w:tblInd w:w="715" w:type="dxa"/>
        <w:tblLook w:val="04A0" w:firstRow="1" w:lastRow="0" w:firstColumn="1" w:lastColumn="0" w:noHBand="0" w:noVBand="1"/>
      </w:tblPr>
      <w:tblGrid>
        <w:gridCol w:w="3960"/>
        <w:gridCol w:w="1710"/>
        <w:gridCol w:w="1530"/>
        <w:gridCol w:w="1350"/>
      </w:tblGrid>
      <w:tr w:rsidR="00054CDE" w14:paraId="54E7CCE1" w14:textId="77777777" w:rsidTr="00F57701">
        <w:tc>
          <w:tcPr>
            <w:tcW w:w="3960" w:type="dxa"/>
          </w:tcPr>
          <w:p w14:paraId="4650CD76" w14:textId="4A54D931" w:rsidR="00054CDE" w:rsidRPr="00F57701" w:rsidRDefault="00054CDE" w:rsidP="00A43CA7">
            <w:pPr>
              <w:pStyle w:val="Table"/>
              <w:ind w:left="0"/>
              <w:rPr>
                <w:b/>
                <w:bCs/>
              </w:rPr>
            </w:pPr>
            <w:r w:rsidRPr="00F57701">
              <w:rPr>
                <w:b/>
                <w:bCs/>
              </w:rPr>
              <w:t>Expenditures ($ millions)</w:t>
            </w:r>
          </w:p>
        </w:tc>
        <w:tc>
          <w:tcPr>
            <w:tcW w:w="1710" w:type="dxa"/>
          </w:tcPr>
          <w:p w14:paraId="24E700A9" w14:textId="73BDE285" w:rsidR="00054CDE" w:rsidRPr="00F57701" w:rsidRDefault="00054CDE" w:rsidP="00A43CA7">
            <w:pPr>
              <w:pStyle w:val="Table"/>
              <w:ind w:left="0"/>
              <w:rPr>
                <w:b/>
                <w:bCs/>
              </w:rPr>
            </w:pPr>
            <w:r w:rsidRPr="00F57701">
              <w:rPr>
                <w:b/>
                <w:bCs/>
              </w:rPr>
              <w:t>Radio</w:t>
            </w:r>
          </w:p>
        </w:tc>
        <w:tc>
          <w:tcPr>
            <w:tcW w:w="1530" w:type="dxa"/>
          </w:tcPr>
          <w:p w14:paraId="4D11103C" w14:textId="0A867334" w:rsidR="00054CDE" w:rsidRPr="00F57701" w:rsidRDefault="00054CDE" w:rsidP="00A43CA7">
            <w:pPr>
              <w:pStyle w:val="Table"/>
              <w:ind w:left="0"/>
              <w:rPr>
                <w:b/>
                <w:bCs/>
              </w:rPr>
            </w:pPr>
            <w:r w:rsidRPr="00F57701">
              <w:rPr>
                <w:b/>
                <w:bCs/>
              </w:rPr>
              <w:t>Television</w:t>
            </w:r>
          </w:p>
        </w:tc>
        <w:tc>
          <w:tcPr>
            <w:tcW w:w="1350" w:type="dxa"/>
          </w:tcPr>
          <w:p w14:paraId="22A8BA85" w14:textId="2A7F51C3" w:rsidR="00054CDE" w:rsidRPr="00F57701" w:rsidRDefault="00054CDE" w:rsidP="00A43CA7">
            <w:pPr>
              <w:pStyle w:val="Table"/>
              <w:ind w:left="0"/>
              <w:rPr>
                <w:b/>
                <w:bCs/>
              </w:rPr>
            </w:pPr>
            <w:r w:rsidRPr="00F57701">
              <w:rPr>
                <w:b/>
                <w:bCs/>
              </w:rPr>
              <w:t>Total</w:t>
            </w:r>
          </w:p>
        </w:tc>
      </w:tr>
      <w:tr w:rsidR="00054CDE" w14:paraId="4F43633D" w14:textId="77777777" w:rsidTr="00F57701">
        <w:tc>
          <w:tcPr>
            <w:tcW w:w="3960" w:type="dxa"/>
          </w:tcPr>
          <w:p w14:paraId="5BABC0C2" w14:textId="69DA4B5F" w:rsidR="00054CDE" w:rsidRDefault="00054CDE" w:rsidP="00A43CA7">
            <w:pPr>
              <w:pStyle w:val="Table"/>
              <w:ind w:left="0"/>
            </w:pPr>
            <w:r>
              <w:t>Programming and production – 2018/19</w:t>
            </w:r>
          </w:p>
        </w:tc>
        <w:tc>
          <w:tcPr>
            <w:tcW w:w="1710" w:type="dxa"/>
          </w:tcPr>
          <w:p w14:paraId="670EB754" w14:textId="4D3E1E1E" w:rsidR="00054CDE" w:rsidRDefault="00054CDE" w:rsidP="00A43CA7">
            <w:pPr>
              <w:pStyle w:val="Table"/>
              <w:ind w:left="0"/>
            </w:pPr>
            <w:r>
              <w:t>$488.0</w:t>
            </w:r>
          </w:p>
        </w:tc>
        <w:tc>
          <w:tcPr>
            <w:tcW w:w="1530" w:type="dxa"/>
          </w:tcPr>
          <w:p w14:paraId="3A9BFE16" w14:textId="77777777" w:rsidR="00054CDE" w:rsidRDefault="00054CDE" w:rsidP="00A43CA7">
            <w:pPr>
              <w:pStyle w:val="Table"/>
              <w:ind w:left="0"/>
            </w:pPr>
          </w:p>
        </w:tc>
        <w:tc>
          <w:tcPr>
            <w:tcW w:w="1350" w:type="dxa"/>
          </w:tcPr>
          <w:p w14:paraId="0D6F7367" w14:textId="7F010170" w:rsidR="00054CDE" w:rsidRDefault="00054CDE" w:rsidP="00A43CA7">
            <w:pPr>
              <w:pStyle w:val="Table"/>
              <w:ind w:left="0"/>
            </w:pPr>
            <w:r>
              <w:t>$488.0</w:t>
            </w:r>
          </w:p>
        </w:tc>
      </w:tr>
      <w:tr w:rsidR="00054CDE" w14:paraId="109D0D77" w14:textId="77777777" w:rsidTr="00F57701">
        <w:tc>
          <w:tcPr>
            <w:tcW w:w="3960" w:type="dxa"/>
          </w:tcPr>
          <w:p w14:paraId="3D468818" w14:textId="1674E25F" w:rsidR="00054CDE" w:rsidRDefault="00054CDE" w:rsidP="00A43CA7">
            <w:pPr>
              <w:pStyle w:val="Table"/>
              <w:ind w:left="0"/>
            </w:pPr>
            <w:r>
              <w:t>Local private TV station productions</w:t>
            </w:r>
          </w:p>
        </w:tc>
        <w:tc>
          <w:tcPr>
            <w:tcW w:w="1710" w:type="dxa"/>
          </w:tcPr>
          <w:p w14:paraId="55DFDC6E" w14:textId="77777777" w:rsidR="00054CDE" w:rsidRDefault="00054CDE" w:rsidP="00A43CA7">
            <w:pPr>
              <w:pStyle w:val="Table"/>
              <w:ind w:left="0"/>
            </w:pPr>
          </w:p>
        </w:tc>
        <w:tc>
          <w:tcPr>
            <w:tcW w:w="1530" w:type="dxa"/>
          </w:tcPr>
          <w:p w14:paraId="08184E64" w14:textId="07F21A14" w:rsidR="00054CDE" w:rsidRDefault="00054CDE" w:rsidP="00A43CA7">
            <w:pPr>
              <w:pStyle w:val="Table"/>
              <w:ind w:left="0"/>
            </w:pPr>
            <w:r>
              <w:t>$417.3</w:t>
            </w:r>
          </w:p>
        </w:tc>
        <w:tc>
          <w:tcPr>
            <w:tcW w:w="1350" w:type="dxa"/>
          </w:tcPr>
          <w:p w14:paraId="2784116B" w14:textId="56D6DC6D" w:rsidR="00054CDE" w:rsidRDefault="00054CDE" w:rsidP="00A43CA7">
            <w:pPr>
              <w:pStyle w:val="Table"/>
              <w:ind w:left="0"/>
            </w:pPr>
            <w:r>
              <w:t>$417.3</w:t>
            </w:r>
          </w:p>
        </w:tc>
      </w:tr>
      <w:tr w:rsidR="00054CDE" w14:paraId="636BD1D1" w14:textId="77777777" w:rsidTr="00F57701">
        <w:tc>
          <w:tcPr>
            <w:tcW w:w="3960" w:type="dxa"/>
          </w:tcPr>
          <w:p w14:paraId="674302DC" w14:textId="07773E01" w:rsidR="00054CDE" w:rsidRDefault="00054CDE" w:rsidP="00A43CA7">
            <w:pPr>
              <w:pStyle w:val="Table"/>
              <w:ind w:left="0"/>
            </w:pPr>
            <w:r>
              <w:t>5-year CAGR % ($ value)</w:t>
            </w:r>
          </w:p>
        </w:tc>
        <w:tc>
          <w:tcPr>
            <w:tcW w:w="1710" w:type="dxa"/>
          </w:tcPr>
          <w:p w14:paraId="10D19AC0" w14:textId="645C6714" w:rsidR="00054CDE" w:rsidRDefault="00054CDE" w:rsidP="00A43CA7">
            <w:pPr>
              <w:pStyle w:val="Table"/>
              <w:ind w:left="0"/>
            </w:pPr>
            <w:r>
              <w:t>-1.1% ($5.4)</w:t>
            </w:r>
          </w:p>
        </w:tc>
        <w:tc>
          <w:tcPr>
            <w:tcW w:w="1530" w:type="dxa"/>
          </w:tcPr>
          <w:p w14:paraId="542A6FA5" w14:textId="7C548F0B" w:rsidR="00054CDE" w:rsidRDefault="00054CDE" w:rsidP="00A43CA7">
            <w:pPr>
              <w:pStyle w:val="Table"/>
              <w:ind w:left="0"/>
            </w:pPr>
            <w:r>
              <w:t>1.2% (</w:t>
            </w:r>
            <w:proofErr w:type="spellStart"/>
            <w:r>
              <w:t>est’d</w:t>
            </w:r>
            <w:proofErr w:type="spellEnd"/>
            <w:r>
              <w:t>)</w:t>
            </w:r>
          </w:p>
        </w:tc>
        <w:tc>
          <w:tcPr>
            <w:tcW w:w="1350" w:type="dxa"/>
          </w:tcPr>
          <w:p w14:paraId="7B09FA1C" w14:textId="77777777" w:rsidR="00054CDE" w:rsidRDefault="00054CDE" w:rsidP="00A43CA7">
            <w:pPr>
              <w:pStyle w:val="Table"/>
              <w:ind w:left="0"/>
            </w:pPr>
          </w:p>
        </w:tc>
      </w:tr>
      <w:tr w:rsidR="00054CDE" w14:paraId="6F285F4D" w14:textId="77777777" w:rsidTr="00F57701">
        <w:tc>
          <w:tcPr>
            <w:tcW w:w="3960" w:type="dxa"/>
          </w:tcPr>
          <w:p w14:paraId="1F428D0B" w14:textId="09818485" w:rsidR="00054CDE" w:rsidRDefault="00054CDE" w:rsidP="00A43CA7">
            <w:pPr>
              <w:pStyle w:val="Table"/>
              <w:ind w:left="0"/>
            </w:pPr>
            <w:r>
              <w:t>Value based on CAGR %</w:t>
            </w:r>
          </w:p>
        </w:tc>
        <w:tc>
          <w:tcPr>
            <w:tcW w:w="1710" w:type="dxa"/>
          </w:tcPr>
          <w:p w14:paraId="5729A9D9" w14:textId="55F7A9D8" w:rsidR="00054CDE" w:rsidRDefault="00054CDE" w:rsidP="00A43CA7">
            <w:pPr>
              <w:pStyle w:val="Table"/>
              <w:ind w:left="0"/>
            </w:pPr>
            <w:r>
              <w:t>($5.4)</w:t>
            </w:r>
          </w:p>
        </w:tc>
        <w:tc>
          <w:tcPr>
            <w:tcW w:w="1530" w:type="dxa"/>
          </w:tcPr>
          <w:p w14:paraId="7465D547" w14:textId="1A2F6292" w:rsidR="00054CDE" w:rsidRDefault="00054CDE" w:rsidP="00A43CA7">
            <w:pPr>
              <w:pStyle w:val="Table"/>
              <w:ind w:left="0"/>
            </w:pPr>
            <w:r>
              <w:t>$5.2</w:t>
            </w:r>
          </w:p>
        </w:tc>
        <w:tc>
          <w:tcPr>
            <w:tcW w:w="1350" w:type="dxa"/>
          </w:tcPr>
          <w:p w14:paraId="01B3F0C5" w14:textId="10564D1D" w:rsidR="00054CDE" w:rsidRDefault="00054CDE" w:rsidP="00A43CA7">
            <w:pPr>
              <w:pStyle w:val="Table"/>
              <w:ind w:left="0"/>
            </w:pPr>
          </w:p>
        </w:tc>
      </w:tr>
      <w:tr w:rsidR="00054CDE" w14:paraId="2596496E" w14:textId="77777777" w:rsidTr="00F57701">
        <w:tc>
          <w:tcPr>
            <w:tcW w:w="3960" w:type="dxa"/>
          </w:tcPr>
          <w:p w14:paraId="793C58AB" w14:textId="197885E1" w:rsidR="00054CDE" w:rsidRDefault="00054CDE" w:rsidP="00A43CA7">
            <w:pPr>
              <w:pStyle w:val="Table"/>
              <w:ind w:left="0"/>
            </w:pPr>
            <w:r>
              <w:t>Projection for 2019/20</w:t>
            </w:r>
          </w:p>
        </w:tc>
        <w:tc>
          <w:tcPr>
            <w:tcW w:w="1710" w:type="dxa"/>
          </w:tcPr>
          <w:p w14:paraId="1B227DE0" w14:textId="7D080096" w:rsidR="00054CDE" w:rsidRDefault="00054CDE" w:rsidP="00A43CA7">
            <w:pPr>
              <w:pStyle w:val="Table"/>
              <w:ind w:left="0"/>
            </w:pPr>
            <w:r>
              <w:t>$482.7</w:t>
            </w:r>
          </w:p>
        </w:tc>
        <w:tc>
          <w:tcPr>
            <w:tcW w:w="1530" w:type="dxa"/>
          </w:tcPr>
          <w:p w14:paraId="1543C7A1" w14:textId="50C95E81" w:rsidR="00054CDE" w:rsidRDefault="00054CDE" w:rsidP="00A43CA7">
            <w:pPr>
              <w:pStyle w:val="Table"/>
              <w:ind w:left="0"/>
            </w:pPr>
            <w:r>
              <w:t>$422.4</w:t>
            </w:r>
          </w:p>
        </w:tc>
        <w:tc>
          <w:tcPr>
            <w:tcW w:w="1350" w:type="dxa"/>
          </w:tcPr>
          <w:p w14:paraId="644E2961" w14:textId="626835E0" w:rsidR="00054CDE" w:rsidRDefault="00054CDE" w:rsidP="00A43CA7">
            <w:pPr>
              <w:pStyle w:val="Table"/>
              <w:ind w:left="0"/>
            </w:pPr>
            <w:r>
              <w:t>$905.1</w:t>
            </w:r>
          </w:p>
        </w:tc>
      </w:tr>
      <w:tr w:rsidR="00054CDE" w14:paraId="5F81E5F5" w14:textId="77777777" w:rsidTr="00F57701">
        <w:tc>
          <w:tcPr>
            <w:tcW w:w="3960" w:type="dxa"/>
          </w:tcPr>
          <w:p w14:paraId="045F1BFE" w14:textId="50587F39" w:rsidR="00054CDE" w:rsidRDefault="00054CDE" w:rsidP="00A43CA7">
            <w:pPr>
              <w:pStyle w:val="Table"/>
              <w:ind w:left="0"/>
              <w:rPr>
                <w:b/>
                <w:bCs/>
              </w:rPr>
            </w:pPr>
            <w:r>
              <w:rPr>
                <w:b/>
                <w:bCs/>
              </w:rPr>
              <w:t xml:space="preserve">Local program expenditures – </w:t>
            </w:r>
          </w:p>
          <w:p w14:paraId="5EFFEF02" w14:textId="12DEB1FE" w:rsidR="00054CDE" w:rsidRPr="005C5D27" w:rsidRDefault="00054CDE" w:rsidP="00A43CA7">
            <w:pPr>
              <w:pStyle w:val="Table"/>
              <w:ind w:left="0"/>
              <w:rPr>
                <w:b/>
                <w:bCs/>
              </w:rPr>
            </w:pPr>
            <w:r>
              <w:rPr>
                <w:b/>
                <w:bCs/>
              </w:rPr>
              <w:t xml:space="preserve">if reduced by </w:t>
            </w:r>
            <w:r w:rsidRPr="005C5D27">
              <w:rPr>
                <w:b/>
                <w:bCs/>
              </w:rPr>
              <w:t xml:space="preserve">50% </w:t>
            </w:r>
          </w:p>
        </w:tc>
        <w:tc>
          <w:tcPr>
            <w:tcW w:w="1710" w:type="dxa"/>
          </w:tcPr>
          <w:p w14:paraId="1B811810" w14:textId="4DA9AF73" w:rsidR="00054CDE" w:rsidRPr="005C5D27" w:rsidRDefault="00054CDE" w:rsidP="00A43CA7">
            <w:pPr>
              <w:pStyle w:val="Table"/>
              <w:ind w:left="0"/>
              <w:rPr>
                <w:b/>
                <w:bCs/>
              </w:rPr>
            </w:pPr>
            <w:r w:rsidRPr="005C5D27">
              <w:rPr>
                <w:b/>
                <w:bCs/>
              </w:rPr>
              <w:t>$241.3</w:t>
            </w:r>
          </w:p>
        </w:tc>
        <w:tc>
          <w:tcPr>
            <w:tcW w:w="1530" w:type="dxa"/>
          </w:tcPr>
          <w:p w14:paraId="4284ECB6" w14:textId="372B39D4" w:rsidR="00054CDE" w:rsidRPr="005C5D27" w:rsidRDefault="00054CDE" w:rsidP="00A43CA7">
            <w:pPr>
              <w:pStyle w:val="Table"/>
              <w:ind w:left="0"/>
              <w:rPr>
                <w:b/>
                <w:bCs/>
              </w:rPr>
            </w:pPr>
            <w:r w:rsidRPr="005C5D27">
              <w:rPr>
                <w:b/>
                <w:bCs/>
              </w:rPr>
              <w:t>$211.2</w:t>
            </w:r>
          </w:p>
        </w:tc>
        <w:tc>
          <w:tcPr>
            <w:tcW w:w="1350" w:type="dxa"/>
          </w:tcPr>
          <w:p w14:paraId="0079E63A" w14:textId="33D22E17" w:rsidR="00054CDE" w:rsidRPr="005C5D27" w:rsidRDefault="00054CDE" w:rsidP="00A43CA7">
            <w:pPr>
              <w:pStyle w:val="Table"/>
              <w:ind w:left="0"/>
              <w:rPr>
                <w:b/>
                <w:bCs/>
              </w:rPr>
            </w:pPr>
            <w:r w:rsidRPr="005C5D27">
              <w:rPr>
                <w:b/>
                <w:bCs/>
              </w:rPr>
              <w:t>$452.5</w:t>
            </w:r>
          </w:p>
        </w:tc>
      </w:tr>
    </w:tbl>
    <w:p w14:paraId="4F933256" w14:textId="77777777" w:rsidR="00054CDE" w:rsidRDefault="00054CDE" w:rsidP="00A43CA7">
      <w:pPr>
        <w:pStyle w:val="Table"/>
      </w:pPr>
    </w:p>
    <w:p w14:paraId="7526A1BF" w14:textId="3B790976" w:rsidR="00054CDE" w:rsidRDefault="00054CDE" w:rsidP="002B134F">
      <w:pPr>
        <w:pStyle w:val="FRPCintPara"/>
      </w:pPr>
      <w:r>
        <w:t>This expenditure estimate does not address the impact of lost employment on Canadian households, communities and others of reduced local programming expenditures.</w:t>
      </w:r>
    </w:p>
    <w:p w14:paraId="630F71B7" w14:textId="1FFC0B8C" w:rsidR="00054CDE" w:rsidRDefault="00054CDE" w:rsidP="002B134F">
      <w:pPr>
        <w:pStyle w:val="FRPCintPara"/>
      </w:pPr>
      <w:r>
        <w:t>The Forum’s concern with the CAB’s proposal that the CRTC allow local television and radio stations to replace local programming with other programming that it transforms such cuts from being an “exceptional business decision to reduce the amount of local content aired”</w:t>
      </w:r>
      <w:r>
        <w:rPr>
          <w:rStyle w:val="EndnoteReference"/>
        </w:rPr>
        <w:endnoteReference w:id="66"/>
      </w:r>
      <w:r>
        <w:t xml:space="preserve"> into a standard business decision that applies across the Board.  Essentially, the CAB wants the CRTC and Canadians to accept that an unknown number of stations will reduce or replace an unknown level of local programming hours  with an unknown level of programming from unknown other sources, to save an unknown amount of money.  </w:t>
      </w:r>
      <w:r w:rsidR="00310427">
        <w:t xml:space="preserve">For the purpose of future planning, a greater degree of specificity would be useful.  The </w:t>
      </w:r>
      <w:r>
        <w:t xml:space="preserve">CAB  has also not indicated whether </w:t>
      </w:r>
      <w:r w:rsidR="00310427">
        <w:t xml:space="preserve">– </w:t>
      </w:r>
      <w:r>
        <w:t xml:space="preserve">or when </w:t>
      </w:r>
      <w:r w:rsidR="00310427">
        <w:t xml:space="preserve">– </w:t>
      </w:r>
      <w:r>
        <w:t>Canada’s licensees will commit to return local programming to local communities</w:t>
      </w:r>
      <w:r w:rsidR="00310427">
        <w:t>:</w:t>
      </w:r>
      <w:r>
        <w:rPr>
          <w:rStyle w:val="EndnoteReference"/>
        </w:rPr>
        <w:endnoteReference w:id="67"/>
      </w:r>
      <w:r w:rsidR="00310427">
        <w:t xml:space="preserve"> time frames would offer some guidance, even if these are only estimates.</w:t>
      </w:r>
    </w:p>
    <w:p w14:paraId="048CC86F" w14:textId="23D08333" w:rsidR="00054CDE" w:rsidRPr="00955E00" w:rsidRDefault="00310427" w:rsidP="002B134F">
      <w:pPr>
        <w:pStyle w:val="FRPCintPara"/>
      </w:pPr>
      <w:r>
        <w:t xml:space="preserve">In the absence of greater detail the Forum is unable to support this </w:t>
      </w:r>
      <w:r w:rsidR="00054CDE">
        <w:t xml:space="preserve">element of the CAB’s application because it is unclear how many hours of local programming </w:t>
      </w:r>
      <w:r>
        <w:t>will</w:t>
      </w:r>
      <w:r w:rsidR="00054CDE">
        <w:t xml:space="preserve"> be affected, how many jobs will be lost, whether broadcasters would agree to return to the </w:t>
      </w:r>
      <w:r w:rsidR="00054CDE">
        <w:rPr>
          <w:i/>
          <w:iCs/>
        </w:rPr>
        <w:t>status quo ante</w:t>
      </w:r>
      <w:r w:rsidR="00054CDE">
        <w:t xml:space="preserve">, and </w:t>
      </w:r>
      <w:r>
        <w:t>what conditions would govern such actions.</w:t>
      </w:r>
    </w:p>
    <w:p w14:paraId="7116BA95" w14:textId="26D171ED" w:rsidR="00054CDE" w:rsidRPr="001D250C" w:rsidRDefault="00054CDE" w:rsidP="00643FE7">
      <w:pPr>
        <w:pStyle w:val="Heading3"/>
      </w:pPr>
      <w:bookmarkStart w:id="31" w:name="_Toc54021167"/>
      <w:r>
        <w:t xml:space="preserve">No remedial action for </w:t>
      </w:r>
      <w:proofErr w:type="spellStart"/>
      <w:r>
        <w:t>underexpenditures</w:t>
      </w:r>
      <w:proofErr w:type="spellEnd"/>
      <w:r>
        <w:t xml:space="preserve"> going forward</w:t>
      </w:r>
      <w:bookmarkEnd w:id="31"/>
    </w:p>
    <w:p w14:paraId="0C8B177D" w14:textId="55791317" w:rsidR="00054CDE" w:rsidRDefault="00054CDE" w:rsidP="002B134F">
      <w:pPr>
        <w:pStyle w:val="FRPCintPara"/>
      </w:pPr>
      <w:r>
        <w:t xml:space="preserve">Next, the CAB asks that the CRTC </w:t>
      </w:r>
      <w:r w:rsidRPr="001D250C">
        <w:t>not require broadcasters to carry forward or make up under-expenditures or shortfalls for the 2019/20 broadcast year (para. 22), in the same way that “Canada’s airlines will not be expected to ‘make up’ flights that they cancelled during the pandemic in future years” (footnote 18)</w:t>
      </w:r>
      <w:r>
        <w:t>.</w:t>
      </w:r>
    </w:p>
    <w:p w14:paraId="715212DD" w14:textId="0682A01C" w:rsidR="00054CDE" w:rsidRDefault="00054CDE" w:rsidP="002B134F">
      <w:pPr>
        <w:pStyle w:val="FRPCintPara"/>
      </w:pPr>
      <w:r>
        <w:t xml:space="preserve">It asks the CRTC to </w:t>
      </w:r>
      <w:r w:rsidRPr="001D250C">
        <w:t xml:space="preserve">base expenditure requirements for the 2020/21 broadcast year on 2019/20 revenues (para. 22) </w:t>
      </w:r>
      <w:r>
        <w:t>if</w:t>
      </w:r>
    </w:p>
    <w:p w14:paraId="527050C2" w14:textId="77777777" w:rsidR="00054CDE" w:rsidRDefault="00054CDE" w:rsidP="006620F9">
      <w:pPr>
        <w:pStyle w:val="BulletText"/>
      </w:pPr>
      <w:r w:rsidRPr="001D250C">
        <w:t>the 2020/21 broadcast year is not “worse for licensees in revenue terms than the 2019-2020 broadcast year and normal evolution of regulatory policy” (footnote 13)</w:t>
      </w:r>
    </w:p>
    <w:p w14:paraId="1C8DC71F" w14:textId="77777777" w:rsidR="00054CDE" w:rsidRDefault="00054CDE" w:rsidP="006620F9">
      <w:pPr>
        <w:pStyle w:val="BulletText"/>
      </w:pPr>
      <w:r w:rsidRPr="001D250C">
        <w:lastRenderedPageBreak/>
        <w:t xml:space="preserve">while “not forcing broadcasters to overspend on programming in the 2020-21 broadcast year when they are still facing up to 50% revenue declines” and </w:t>
      </w:r>
    </w:p>
    <w:p w14:paraId="1B55BBB1" w14:textId="6CE780BD" w:rsidR="00054CDE" w:rsidRDefault="00054CDE" w:rsidP="006620F9">
      <w:pPr>
        <w:pStyle w:val="BulletText"/>
      </w:pPr>
      <w:r w:rsidRPr="001D250C">
        <w:t>not leaving them “with contingent liability for expenditure shortfalls that are impossible to make up over the licence term without destabilizing the sector even further” (para. 32).</w:t>
      </w:r>
    </w:p>
    <w:p w14:paraId="0842C946" w14:textId="77777777" w:rsidR="00054CDE" w:rsidRDefault="00054CDE" w:rsidP="006620F9">
      <w:pPr>
        <w:pStyle w:val="BulletText"/>
        <w:numPr>
          <w:ilvl w:val="0"/>
          <w:numId w:val="0"/>
        </w:numPr>
        <w:ind w:left="1440"/>
      </w:pPr>
    </w:p>
    <w:p w14:paraId="28AA3343" w14:textId="796BFFE5" w:rsidR="00054CDE" w:rsidRDefault="00054CDE" w:rsidP="002B134F">
      <w:pPr>
        <w:pStyle w:val="FRPCintPara"/>
      </w:pPr>
      <w:bookmarkStart w:id="32" w:name="_Ref53989745"/>
      <w:r>
        <w:t>In 2018/19 private television broadcasters spent $669 million on CPE.  The CAB does not provide an estimate of the impact of its proposal on Canadian programming expenditures in 2019/20.</w:t>
      </w:r>
      <w:bookmarkEnd w:id="32"/>
    </w:p>
    <w:p w14:paraId="6F28E414" w14:textId="7CA9ADB6" w:rsidR="00054CDE" w:rsidRDefault="00054CDE" w:rsidP="002B134F">
      <w:pPr>
        <w:pStyle w:val="FRPCintPara"/>
      </w:pPr>
      <w:r>
        <w:t xml:space="preserve">The Forum generally agrees with this approach, as long as those to whom it applies provide the CRTC with clear and measurable commitments for </w:t>
      </w:r>
      <w:r w:rsidR="00294083">
        <w:t xml:space="preserve">the resumption of pre-Covid-19 ‘normal’ expenditures and the projected duration of the temporary relief sought.  </w:t>
      </w:r>
    </w:p>
    <w:p w14:paraId="3C46C0EB" w14:textId="77777777" w:rsidR="00054CDE" w:rsidRDefault="00054CDE" w:rsidP="005C5D27">
      <w:pPr>
        <w:pStyle w:val="Heading3"/>
      </w:pPr>
      <w:bookmarkStart w:id="33" w:name="_Toc54021168"/>
      <w:r>
        <w:t>Stop monitoring</w:t>
      </w:r>
      <w:bookmarkEnd w:id="33"/>
    </w:p>
    <w:p w14:paraId="0163CBBF" w14:textId="480AA289" w:rsidR="00054CDE" w:rsidRDefault="00054CDE" w:rsidP="002B134F">
      <w:pPr>
        <w:pStyle w:val="FRPCintPara"/>
      </w:pPr>
      <w:r>
        <w:t>The CAB asks that the CRTC n</w:t>
      </w:r>
      <w:r w:rsidRPr="001D250C">
        <w:t xml:space="preserve">ot require broadcasters to track their reasons for non-compliance </w:t>
      </w:r>
      <w:r>
        <w:t>as this “takes resources away from operational priorities.”</w:t>
      </w:r>
      <w:r>
        <w:rPr>
          <w:rStyle w:val="EndnoteReference"/>
        </w:rPr>
        <w:endnoteReference w:id="68"/>
      </w:r>
      <w:r>
        <w:t xml:space="preserve">  </w:t>
      </w:r>
    </w:p>
    <w:p w14:paraId="6C8BFFBA" w14:textId="7B147DEF" w:rsidR="00054CDE" w:rsidRDefault="00054CDE" w:rsidP="002B134F">
      <w:pPr>
        <w:pStyle w:val="FRPCintPara"/>
      </w:pPr>
      <w:r>
        <w:t>The CAB also asks that the CRTC e</w:t>
      </w:r>
      <w:r w:rsidRPr="001D250C">
        <w:t>ither not audit TV broadcasters locally reflective news and local programming requirements for the “latter half of the 2019-2020 broadcast year” in both non-metropolitan and metropolitan communities (paras. 45-47), or “treat all locally reflective news and local programming requirements as expectations subject to ‘should resources permit’ when assessing compliance” (para. 48)</w:t>
      </w:r>
      <w:r>
        <w:t>.</w:t>
      </w:r>
    </w:p>
    <w:p w14:paraId="51DE7C41" w14:textId="03D089D7" w:rsidR="00054CDE" w:rsidRDefault="00054CDE" w:rsidP="002B134F">
      <w:pPr>
        <w:pStyle w:val="FRPCintPara"/>
      </w:pPr>
      <w:r>
        <w:t>Finally, t</w:t>
      </w:r>
      <w:r w:rsidRPr="001D250C">
        <w:t xml:space="preserve">he CAB </w:t>
      </w:r>
      <w:r>
        <w:t>a</w:t>
      </w:r>
      <w:r w:rsidRPr="001D250C">
        <w:t>sks that the CRTC not ask for additional information (para. 6</w:t>
      </w:r>
      <w:r>
        <w:t>2</w:t>
      </w:r>
      <w:r w:rsidRPr="001D250C">
        <w:t>).</w:t>
      </w:r>
    </w:p>
    <w:p w14:paraId="4232FFB8" w14:textId="0E33B1B2" w:rsidR="00054CDE" w:rsidRDefault="00054CDE" w:rsidP="002B134F">
      <w:pPr>
        <w:pStyle w:val="FRPCintPara"/>
      </w:pPr>
      <w:r>
        <w:t>The Forum is concerned that the CAB has not provided any estimates of the expenditures or employees required to provide such information, and has not explained why broadcasters would not themselves want to know what is happening at their stations and why.</w:t>
      </w:r>
      <w:r>
        <w:rPr>
          <w:rStyle w:val="EndnoteReference"/>
        </w:rPr>
        <w:endnoteReference w:id="69"/>
      </w:r>
      <w:r>
        <w:t xml:space="preserve"> </w:t>
      </w:r>
      <w:r w:rsidR="00803E0F">
        <w:t xml:space="preserve"> An important effect of this gap in facts is that it does not provide the CRTC with a strong evidentiary foundation to </w:t>
      </w:r>
      <w:r w:rsidR="006A6FDE">
        <w:t>support its ultimate decision.</w:t>
      </w:r>
    </w:p>
    <w:p w14:paraId="21B38CBD" w14:textId="11C88AFF" w:rsidR="000A558F" w:rsidRDefault="00054CDE" w:rsidP="002B134F">
      <w:pPr>
        <w:pStyle w:val="FRPCintPara"/>
      </w:pPr>
      <w:r>
        <w:t xml:space="preserve">The Forum is equally concerned that granting this “stop-monitoring” element of the CAB’s application would prevent the CRTC from evaluating the impact of any policy it adopts to address the Covid-19 pandemic.  </w:t>
      </w:r>
      <w:r w:rsidR="00294083">
        <w:t xml:space="preserve">A recent review by the Forum found that </w:t>
      </w:r>
      <w:r w:rsidR="00050580">
        <w:t xml:space="preserve">among the 3,154 tables, figures and infographics </w:t>
      </w:r>
      <w:r w:rsidR="000A558F">
        <w:t xml:space="preserve">published </w:t>
      </w:r>
      <w:r w:rsidR="00050580">
        <w:t xml:space="preserve">in the twelve </w:t>
      </w:r>
      <w:r w:rsidR="00050580">
        <w:rPr>
          <w:i/>
          <w:iCs/>
        </w:rPr>
        <w:t xml:space="preserve">Communications Monitoring Reports </w:t>
      </w:r>
      <w:r w:rsidR="00050580">
        <w:t xml:space="preserve">issued by the CRTC from 2008 to 2019 there were </w:t>
      </w:r>
      <w:r w:rsidR="000A558F">
        <w:t xml:space="preserve">only five (5) references to the hours of programming actually broadcast by radio and television services in Canada:  see </w:t>
      </w:r>
      <w:r w:rsidR="000A558F">
        <w:fldChar w:fldCharType="begin"/>
      </w:r>
      <w:r w:rsidR="000A558F">
        <w:instrText xml:space="preserve"> REF _Ref54005252 \h </w:instrText>
      </w:r>
      <w:r w:rsidR="000A558F">
        <w:fldChar w:fldCharType="separate"/>
      </w:r>
      <w:r w:rsidR="00A74C32">
        <w:t xml:space="preserve">Appendix </w:t>
      </w:r>
      <w:r w:rsidR="00A74C32">
        <w:rPr>
          <w:noProof/>
        </w:rPr>
        <w:t>10</w:t>
      </w:r>
      <w:r w:rsidR="000A558F">
        <w:fldChar w:fldCharType="end"/>
      </w:r>
      <w:r w:rsidR="000A558F">
        <w:t>.  As previously mentioned, some radio and television broadcasters have already adopted to some extent the practice of simulcasting radio programs on television, and television programs on radio; should the CRTC not be able to monitor such practices to evaluate their impact on diversity of news</w:t>
      </w:r>
      <w:r w:rsidR="006A6FDE">
        <w:t>, including in particular the source and level of original hours of Category 1 news?</w:t>
      </w:r>
    </w:p>
    <w:p w14:paraId="5F51AE64" w14:textId="2AF74AD0" w:rsidR="00054CDE" w:rsidRDefault="00054CDE" w:rsidP="002B134F">
      <w:pPr>
        <w:pStyle w:val="FRPCintPara"/>
      </w:pPr>
      <w:r>
        <w:lastRenderedPageBreak/>
        <w:t xml:space="preserve">More seriously – and contrary to the CAB’s claim – </w:t>
      </w:r>
      <w:r w:rsidR="000A558F">
        <w:t xml:space="preserve">the Forum submits that </w:t>
      </w:r>
      <w:r>
        <w:t xml:space="preserve">granting this request </w:t>
      </w:r>
      <w:r w:rsidRPr="006A6FDE">
        <w:rPr>
          <w:u w:val="single"/>
        </w:rPr>
        <w:t>would</w:t>
      </w:r>
      <w:r>
        <w:t xml:space="preserve"> effectively “fetter the CRTC’s discretion </w:t>
      </w:r>
      <w:r w:rsidRPr="00487189">
        <w:t>to sanction any broadcasters it may ultimately deem have acted in bad faith</w:t>
      </w:r>
      <w:r>
        <w:t>”:</w:t>
      </w:r>
      <w:r>
        <w:rPr>
          <w:rStyle w:val="EndnoteReference"/>
        </w:rPr>
        <w:endnoteReference w:id="70"/>
      </w:r>
      <w:r>
        <w:t xml:space="preserve">  on what evidence </w:t>
      </w:r>
      <w:r w:rsidR="00294083">
        <w:t>c</w:t>
      </w:r>
      <w:r>
        <w:t xml:space="preserve">ould the CRTC </w:t>
      </w:r>
      <w:r w:rsidR="00294083">
        <w:t xml:space="preserve">then </w:t>
      </w:r>
      <w:r>
        <w:t xml:space="preserve">base a decision to sanction </w:t>
      </w:r>
      <w:r w:rsidR="00294083">
        <w:t xml:space="preserve">any </w:t>
      </w:r>
      <w:r>
        <w:t xml:space="preserve">broadcasters it ‘deems’ to have acted in bad faith? </w:t>
      </w:r>
    </w:p>
    <w:p w14:paraId="1447490D" w14:textId="5DC9D814" w:rsidR="00054CDE" w:rsidRDefault="00054CDE" w:rsidP="00643FE7">
      <w:pPr>
        <w:pStyle w:val="Heading3"/>
      </w:pPr>
      <w:bookmarkStart w:id="34" w:name="_Toc54021169"/>
      <w:r>
        <w:t>‘Should resources permit’</w:t>
      </w:r>
      <w:bookmarkEnd w:id="34"/>
    </w:p>
    <w:p w14:paraId="31C3D689" w14:textId="273698B8" w:rsidR="00054CDE" w:rsidRDefault="00054CDE" w:rsidP="002B134F">
      <w:pPr>
        <w:pStyle w:val="FRPCintPara"/>
      </w:pPr>
      <w:r>
        <w:t>The CAB suggests that the CRTC t</w:t>
      </w:r>
      <w:r w:rsidRPr="001D250C">
        <w:t>reat all other regulatory requirements for the 2019/20 year, such as new closed captioning standards, “as expectations subject to a should resources permit’” limitation (para. 49)</w:t>
      </w:r>
      <w:r>
        <w:t>.</w:t>
      </w:r>
    </w:p>
    <w:p w14:paraId="165B682B" w14:textId="54DBECC5" w:rsidR="00054CDE" w:rsidRDefault="00054CDE" w:rsidP="002B134F">
      <w:pPr>
        <w:pStyle w:val="FRPCintPara"/>
      </w:pPr>
      <w:bookmarkStart w:id="35" w:name="_Ref53990171"/>
      <w:r>
        <w:t xml:space="preserve">The </w:t>
      </w:r>
      <w:r w:rsidR="005B234E">
        <w:t xml:space="preserve">CAB’s application does not explain the impact of this proposal on broadcasters’ financial position or employment levels, or on closed captioning.  </w:t>
      </w:r>
      <w:r>
        <w:t>The CRTC’s financial summaries show that in 2018/19 private television broadcasters spent $6.9 million on closed captioning and described video.  If broadcasters reduced this expenditure by half in 2019/20</w:t>
      </w:r>
      <w:r w:rsidR="005B234E">
        <w:t xml:space="preserve"> – and it is unclear whether this is what the CAB is proposing</w:t>
      </w:r>
      <w:r>
        <w:t>, the amount would decrease to $3.4 million (representing 0.4% of the $896 million projected loss for 2019/20).</w:t>
      </w:r>
      <w:bookmarkEnd w:id="35"/>
    </w:p>
    <w:p w14:paraId="336B0B63" w14:textId="0BFFAE72" w:rsidR="00054CDE" w:rsidRDefault="00054CDE" w:rsidP="002B134F">
      <w:pPr>
        <w:pStyle w:val="FRPCintPara"/>
      </w:pPr>
      <w:r>
        <w:t xml:space="preserve">In the specific example of captioning, the Forum understands that almost all non-live programming acquired by broadcasters is captioned.  Live programming – consisting generally of news and sports – presumably requires the expenditure of resources for captioning not only due to the CRTC’s long-overdue accessibility requirements, but also now because of the </w:t>
      </w:r>
      <w:r>
        <w:rPr>
          <w:i/>
          <w:iCs/>
        </w:rPr>
        <w:t>Accessibility Canada Act</w:t>
      </w:r>
      <w:r>
        <w:t>.   In the absence of any evidence from the CAB about the savings represented by captioning and about the number of people who would be adversely affected by the loss of captioning, the Forum strongly opposes this aspect of CAB’s application.</w:t>
      </w:r>
    </w:p>
    <w:p w14:paraId="3FD0C271" w14:textId="77777777" w:rsidR="00054CDE" w:rsidRDefault="00054CDE" w:rsidP="00FD2B25">
      <w:pPr>
        <w:pStyle w:val="Heading2"/>
      </w:pPr>
      <w:bookmarkStart w:id="36" w:name="_Toc54021170"/>
      <w:r>
        <w:t>The Forum conditionally supports CAB’s application</w:t>
      </w:r>
      <w:bookmarkEnd w:id="36"/>
      <w:r>
        <w:t xml:space="preserve"> </w:t>
      </w:r>
    </w:p>
    <w:p w14:paraId="46C03733" w14:textId="0A359F98" w:rsidR="00054CDE" w:rsidRDefault="00054CDE" w:rsidP="002B134F">
      <w:pPr>
        <w:pStyle w:val="FRPCintPara"/>
      </w:pPr>
      <w:r>
        <w:t>Having reviewed the CAB’s application and the CRTC’s comments in BNoC 2020-336 t</w:t>
      </w:r>
      <w:r w:rsidRPr="00141590">
        <w:t>he Forum</w:t>
      </w:r>
      <w:r>
        <w:t xml:space="preserve"> strongly supports a measure of regulatory support to provide broadcasters with the flexibility to serve Canadian communities, while maintaining original local radio and television news and employment levels</w:t>
      </w:r>
      <w:r w:rsidRPr="00141590">
        <w:t>.</w:t>
      </w:r>
      <w:r>
        <w:t xml:space="preserve">  That said, the Forum </w:t>
      </w:r>
      <w:r w:rsidR="006A6FDE">
        <w:t>also strongly</w:t>
      </w:r>
      <w:r>
        <w:t xml:space="preserve"> opposes any reductions in the accessibility of Canadian programming.</w:t>
      </w:r>
    </w:p>
    <w:p w14:paraId="7BA60057" w14:textId="7F3535AF" w:rsidR="00054CDE" w:rsidRDefault="00054CDE" w:rsidP="002B134F">
      <w:pPr>
        <w:pStyle w:val="FRPCintPara"/>
      </w:pPr>
      <w:r>
        <w:t xml:space="preserve">The Forum’s main concern with CAB’s application is that it provides little information about the impact of its proposals on broadcasters.  A very rough estimate of the ideas proposed by CAB indicates that the measures it has proposed could address up to 96% of the losses it appears to be projecting for the 2019/20 broadcast year:  </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2070"/>
        <w:gridCol w:w="2070"/>
        <w:gridCol w:w="1150"/>
      </w:tblGrid>
      <w:tr w:rsidR="00054CDE" w:rsidRPr="00D504BC" w14:paraId="7782ED39" w14:textId="77777777" w:rsidTr="005B234E">
        <w:trPr>
          <w:trHeight w:val="290"/>
          <w:tblHeader/>
        </w:trPr>
        <w:tc>
          <w:tcPr>
            <w:tcW w:w="4765" w:type="dxa"/>
            <w:shd w:val="clear" w:color="auto" w:fill="auto"/>
            <w:noWrap/>
            <w:vAlign w:val="bottom"/>
            <w:hideMark/>
          </w:tcPr>
          <w:p w14:paraId="30770C64" w14:textId="77777777" w:rsidR="00054CDE" w:rsidRPr="00D504BC" w:rsidRDefault="00054CDE">
            <w:pPr>
              <w:rPr>
                <w:rFonts w:ascii="Calibri" w:hAnsi="Calibri" w:cs="Calibri"/>
                <w:b/>
                <w:bCs/>
                <w:color w:val="000000"/>
                <w:sz w:val="20"/>
                <w:szCs w:val="20"/>
              </w:rPr>
            </w:pPr>
            <w:r w:rsidRPr="00D504BC">
              <w:rPr>
                <w:rFonts w:ascii="Calibri" w:hAnsi="Calibri" w:cs="Calibri"/>
                <w:b/>
                <w:bCs/>
                <w:color w:val="000000"/>
                <w:sz w:val="20"/>
                <w:szCs w:val="20"/>
              </w:rPr>
              <w:t>Regulatory relief</w:t>
            </w:r>
          </w:p>
        </w:tc>
        <w:tc>
          <w:tcPr>
            <w:tcW w:w="2070" w:type="dxa"/>
            <w:shd w:val="clear" w:color="auto" w:fill="auto"/>
            <w:noWrap/>
            <w:vAlign w:val="bottom"/>
            <w:hideMark/>
          </w:tcPr>
          <w:p w14:paraId="62231A0A" w14:textId="05190D9A" w:rsidR="00054CDE" w:rsidRPr="00D504BC" w:rsidRDefault="00054CDE">
            <w:pPr>
              <w:rPr>
                <w:rFonts w:ascii="Calibri" w:hAnsi="Calibri" w:cs="Calibri"/>
                <w:b/>
                <w:bCs/>
                <w:color w:val="000000"/>
                <w:sz w:val="20"/>
                <w:szCs w:val="20"/>
              </w:rPr>
            </w:pPr>
            <w:r w:rsidRPr="00D504BC">
              <w:rPr>
                <w:rFonts w:ascii="Calibri" w:hAnsi="Calibri" w:cs="Calibri"/>
                <w:b/>
                <w:bCs/>
                <w:color w:val="000000"/>
                <w:sz w:val="20"/>
                <w:szCs w:val="20"/>
              </w:rPr>
              <w:t>Estimated total</w:t>
            </w:r>
            <w:r w:rsidR="005B234E">
              <w:rPr>
                <w:rFonts w:ascii="Calibri" w:hAnsi="Calibri" w:cs="Calibri"/>
                <w:b/>
                <w:bCs/>
                <w:color w:val="000000"/>
                <w:sz w:val="20"/>
                <w:szCs w:val="20"/>
              </w:rPr>
              <w:t xml:space="preserve"> ($M)</w:t>
            </w:r>
          </w:p>
        </w:tc>
        <w:tc>
          <w:tcPr>
            <w:tcW w:w="2070" w:type="dxa"/>
            <w:shd w:val="clear" w:color="auto" w:fill="auto"/>
            <w:noWrap/>
            <w:vAlign w:val="bottom"/>
            <w:hideMark/>
          </w:tcPr>
          <w:p w14:paraId="77AAD6EF" w14:textId="7D56EF0A" w:rsidR="00054CDE" w:rsidRPr="00D504BC" w:rsidRDefault="00054CDE">
            <w:pPr>
              <w:rPr>
                <w:rFonts w:ascii="Calibri" w:hAnsi="Calibri" w:cs="Calibri"/>
                <w:b/>
                <w:bCs/>
                <w:color w:val="000000"/>
                <w:sz w:val="20"/>
                <w:szCs w:val="20"/>
              </w:rPr>
            </w:pPr>
            <w:r w:rsidRPr="00D504BC">
              <w:rPr>
                <w:rFonts w:ascii="Calibri" w:hAnsi="Calibri" w:cs="Calibri"/>
                <w:b/>
                <w:bCs/>
                <w:color w:val="000000"/>
                <w:sz w:val="20"/>
                <w:szCs w:val="20"/>
              </w:rPr>
              <w:t>Cumulative total</w:t>
            </w:r>
            <w:r w:rsidR="005B234E">
              <w:rPr>
                <w:rFonts w:ascii="Calibri" w:hAnsi="Calibri" w:cs="Calibri"/>
                <w:b/>
                <w:bCs/>
                <w:color w:val="000000"/>
                <w:sz w:val="20"/>
                <w:szCs w:val="20"/>
              </w:rPr>
              <w:t xml:space="preserve"> ($M)</w:t>
            </w:r>
          </w:p>
        </w:tc>
        <w:tc>
          <w:tcPr>
            <w:tcW w:w="1150" w:type="dxa"/>
            <w:shd w:val="clear" w:color="auto" w:fill="auto"/>
            <w:noWrap/>
            <w:vAlign w:val="bottom"/>
            <w:hideMark/>
          </w:tcPr>
          <w:p w14:paraId="70047ED7" w14:textId="77777777" w:rsidR="00054CDE" w:rsidRPr="00D504BC" w:rsidRDefault="00054CDE">
            <w:pPr>
              <w:rPr>
                <w:rFonts w:ascii="Calibri" w:hAnsi="Calibri" w:cs="Calibri"/>
                <w:b/>
                <w:bCs/>
                <w:color w:val="000000"/>
                <w:sz w:val="20"/>
                <w:szCs w:val="20"/>
              </w:rPr>
            </w:pPr>
            <w:r w:rsidRPr="00D504BC">
              <w:rPr>
                <w:rFonts w:ascii="Calibri" w:hAnsi="Calibri" w:cs="Calibri"/>
                <w:b/>
                <w:bCs/>
                <w:color w:val="000000"/>
                <w:sz w:val="20"/>
                <w:szCs w:val="20"/>
              </w:rPr>
              <w:t>% of loss</w:t>
            </w:r>
          </w:p>
        </w:tc>
      </w:tr>
      <w:tr w:rsidR="00054CDE" w:rsidRPr="00D504BC" w14:paraId="595851E9" w14:textId="77777777" w:rsidTr="005B234E">
        <w:trPr>
          <w:trHeight w:val="290"/>
        </w:trPr>
        <w:tc>
          <w:tcPr>
            <w:tcW w:w="4765" w:type="dxa"/>
            <w:shd w:val="clear" w:color="auto" w:fill="auto"/>
            <w:noWrap/>
            <w:vAlign w:val="bottom"/>
            <w:hideMark/>
          </w:tcPr>
          <w:p w14:paraId="0711FA4A" w14:textId="0785707C" w:rsidR="00054CDE" w:rsidRPr="00D504BC" w:rsidRDefault="00054CDE" w:rsidP="00F8518C">
            <w:pPr>
              <w:rPr>
                <w:rFonts w:ascii="Calibri" w:hAnsi="Calibri" w:cs="Calibri"/>
                <w:color w:val="000000"/>
                <w:sz w:val="20"/>
                <w:szCs w:val="20"/>
              </w:rPr>
            </w:pPr>
            <w:r w:rsidRPr="00D504BC">
              <w:rPr>
                <w:rFonts w:ascii="Calibri" w:hAnsi="Calibri" w:cs="Calibri"/>
                <w:color w:val="000000"/>
                <w:sz w:val="20"/>
                <w:szCs w:val="20"/>
              </w:rPr>
              <w:t>Total projected loss in 2019/20</w:t>
            </w:r>
            <w:r>
              <w:rPr>
                <w:rFonts w:ascii="Calibri" w:hAnsi="Calibri" w:cs="Calibri"/>
                <w:color w:val="000000"/>
                <w:sz w:val="20"/>
                <w:szCs w:val="20"/>
              </w:rPr>
              <w:t xml:space="preserve"> (see ¶</w:t>
            </w:r>
            <w:r>
              <w:rPr>
                <w:rFonts w:ascii="Calibri" w:hAnsi="Calibri" w:cs="Calibri"/>
                <w:color w:val="000000"/>
                <w:sz w:val="20"/>
                <w:szCs w:val="20"/>
              </w:rPr>
              <w:fldChar w:fldCharType="begin"/>
            </w:r>
            <w:r>
              <w:rPr>
                <w:rFonts w:ascii="Calibri" w:hAnsi="Calibri" w:cs="Calibri"/>
                <w:color w:val="000000"/>
                <w:sz w:val="20"/>
                <w:szCs w:val="20"/>
              </w:rPr>
              <w:instrText xml:space="preserve"> REF _Ref53989330 \r \h </w:instrText>
            </w:r>
            <w:r>
              <w:rPr>
                <w:rFonts w:ascii="Calibri" w:hAnsi="Calibri" w:cs="Calibri"/>
                <w:color w:val="000000"/>
                <w:sz w:val="20"/>
                <w:szCs w:val="20"/>
              </w:rPr>
            </w:r>
            <w:r>
              <w:rPr>
                <w:rFonts w:ascii="Calibri" w:hAnsi="Calibri" w:cs="Calibri"/>
                <w:color w:val="000000"/>
                <w:sz w:val="20"/>
                <w:szCs w:val="20"/>
              </w:rPr>
              <w:fldChar w:fldCharType="separate"/>
            </w:r>
            <w:r w:rsidR="00A74C32">
              <w:rPr>
                <w:rFonts w:ascii="Calibri" w:hAnsi="Calibri" w:cs="Calibri"/>
                <w:color w:val="000000"/>
                <w:sz w:val="20"/>
                <w:szCs w:val="20"/>
              </w:rPr>
              <w:t>12</w:t>
            </w:r>
            <w:r>
              <w:rPr>
                <w:rFonts w:ascii="Calibri" w:hAnsi="Calibri" w:cs="Calibri"/>
                <w:color w:val="000000"/>
                <w:sz w:val="20"/>
                <w:szCs w:val="20"/>
              </w:rPr>
              <w:fldChar w:fldCharType="end"/>
            </w:r>
            <w:r>
              <w:rPr>
                <w:rFonts w:ascii="Calibri" w:hAnsi="Calibri" w:cs="Calibri"/>
                <w:color w:val="000000"/>
                <w:sz w:val="20"/>
                <w:szCs w:val="20"/>
              </w:rPr>
              <w:t>)</w:t>
            </w:r>
          </w:p>
        </w:tc>
        <w:tc>
          <w:tcPr>
            <w:tcW w:w="2070" w:type="dxa"/>
            <w:shd w:val="clear" w:color="auto" w:fill="auto"/>
            <w:noWrap/>
            <w:vAlign w:val="bottom"/>
            <w:hideMark/>
          </w:tcPr>
          <w:p w14:paraId="57BB9F81" w14:textId="77777777" w:rsidR="00054CDE" w:rsidRPr="00D504BC" w:rsidRDefault="00054CDE" w:rsidP="00F8518C">
            <w:pPr>
              <w:jc w:val="right"/>
              <w:rPr>
                <w:rFonts w:ascii="Calibri" w:hAnsi="Calibri" w:cs="Calibri"/>
                <w:color w:val="000000"/>
                <w:sz w:val="20"/>
                <w:szCs w:val="20"/>
              </w:rPr>
            </w:pPr>
            <w:r w:rsidRPr="00D504BC">
              <w:rPr>
                <w:rFonts w:ascii="Calibri" w:hAnsi="Calibri" w:cs="Calibri"/>
                <w:color w:val="000000"/>
                <w:sz w:val="20"/>
                <w:szCs w:val="20"/>
              </w:rPr>
              <w:t>$896.30</w:t>
            </w:r>
          </w:p>
        </w:tc>
        <w:tc>
          <w:tcPr>
            <w:tcW w:w="2070" w:type="dxa"/>
            <w:shd w:val="clear" w:color="auto" w:fill="auto"/>
            <w:noWrap/>
            <w:vAlign w:val="bottom"/>
            <w:hideMark/>
          </w:tcPr>
          <w:p w14:paraId="53E301A9" w14:textId="77777777" w:rsidR="00054CDE" w:rsidRPr="00D504BC" w:rsidRDefault="00054CDE" w:rsidP="00F8518C">
            <w:pPr>
              <w:jc w:val="right"/>
              <w:rPr>
                <w:rFonts w:ascii="Calibri" w:hAnsi="Calibri" w:cs="Calibri"/>
                <w:color w:val="000000"/>
                <w:sz w:val="20"/>
                <w:szCs w:val="20"/>
              </w:rPr>
            </w:pPr>
          </w:p>
        </w:tc>
        <w:tc>
          <w:tcPr>
            <w:tcW w:w="1150" w:type="dxa"/>
            <w:shd w:val="clear" w:color="auto" w:fill="auto"/>
            <w:noWrap/>
            <w:vAlign w:val="bottom"/>
            <w:hideMark/>
          </w:tcPr>
          <w:p w14:paraId="46C39C84" w14:textId="77777777" w:rsidR="00054CDE" w:rsidRPr="00D504BC" w:rsidRDefault="00054CDE" w:rsidP="00F8518C">
            <w:pPr>
              <w:rPr>
                <w:sz w:val="20"/>
                <w:szCs w:val="20"/>
              </w:rPr>
            </w:pPr>
          </w:p>
        </w:tc>
      </w:tr>
      <w:tr w:rsidR="00054CDE" w:rsidRPr="00D504BC" w14:paraId="1A3842CF" w14:textId="77777777" w:rsidTr="005B234E">
        <w:trPr>
          <w:trHeight w:val="290"/>
        </w:trPr>
        <w:tc>
          <w:tcPr>
            <w:tcW w:w="4765" w:type="dxa"/>
            <w:shd w:val="clear" w:color="auto" w:fill="auto"/>
            <w:noWrap/>
            <w:vAlign w:val="bottom"/>
            <w:hideMark/>
          </w:tcPr>
          <w:p w14:paraId="74D38BEE" w14:textId="154CC23C" w:rsidR="00054CDE" w:rsidRPr="00D504BC" w:rsidRDefault="00054CDE">
            <w:pPr>
              <w:rPr>
                <w:rFonts w:ascii="Calibri" w:hAnsi="Calibri" w:cs="Calibri"/>
                <w:color w:val="000000"/>
                <w:sz w:val="20"/>
                <w:szCs w:val="20"/>
              </w:rPr>
            </w:pPr>
            <w:r w:rsidRPr="00D504BC">
              <w:rPr>
                <w:rFonts w:ascii="Calibri" w:hAnsi="Calibri" w:cs="Calibri"/>
                <w:color w:val="000000"/>
                <w:sz w:val="20"/>
                <w:szCs w:val="20"/>
              </w:rPr>
              <w:t>Suspension of broadcasters' licence fees</w:t>
            </w:r>
            <w:r>
              <w:rPr>
                <w:rFonts w:ascii="Calibri" w:hAnsi="Calibri" w:cs="Calibri"/>
                <w:color w:val="000000"/>
                <w:sz w:val="20"/>
                <w:szCs w:val="20"/>
              </w:rPr>
              <w:t xml:space="preserve"> (¶</w:t>
            </w:r>
            <w:r>
              <w:rPr>
                <w:rFonts w:ascii="Calibri" w:hAnsi="Calibri" w:cs="Calibri"/>
                <w:color w:val="000000"/>
                <w:sz w:val="20"/>
                <w:szCs w:val="20"/>
              </w:rPr>
              <w:fldChar w:fldCharType="begin"/>
            </w:r>
            <w:r>
              <w:rPr>
                <w:rFonts w:ascii="Calibri" w:hAnsi="Calibri" w:cs="Calibri"/>
                <w:color w:val="000000"/>
                <w:sz w:val="20"/>
                <w:szCs w:val="20"/>
              </w:rPr>
              <w:instrText xml:space="preserve"> REF _Ref53989373 \r \h </w:instrText>
            </w:r>
            <w:r>
              <w:rPr>
                <w:rFonts w:ascii="Calibri" w:hAnsi="Calibri" w:cs="Calibri"/>
                <w:color w:val="000000"/>
                <w:sz w:val="20"/>
                <w:szCs w:val="20"/>
              </w:rPr>
            </w:r>
            <w:r>
              <w:rPr>
                <w:rFonts w:ascii="Calibri" w:hAnsi="Calibri" w:cs="Calibri"/>
                <w:color w:val="000000"/>
                <w:sz w:val="20"/>
                <w:szCs w:val="20"/>
              </w:rPr>
              <w:fldChar w:fldCharType="separate"/>
            </w:r>
            <w:r w:rsidR="00A74C32">
              <w:rPr>
                <w:rFonts w:ascii="Calibri" w:hAnsi="Calibri" w:cs="Calibri"/>
                <w:color w:val="000000"/>
                <w:sz w:val="20"/>
                <w:szCs w:val="20"/>
              </w:rPr>
              <w:t>15</w:t>
            </w:r>
            <w:r>
              <w:rPr>
                <w:rFonts w:ascii="Calibri" w:hAnsi="Calibri" w:cs="Calibri"/>
                <w:color w:val="000000"/>
                <w:sz w:val="20"/>
                <w:szCs w:val="20"/>
              </w:rPr>
              <w:fldChar w:fldCharType="end"/>
            </w:r>
            <w:r>
              <w:rPr>
                <w:rFonts w:ascii="Calibri" w:hAnsi="Calibri" w:cs="Calibri"/>
                <w:color w:val="000000"/>
                <w:sz w:val="20"/>
                <w:szCs w:val="20"/>
              </w:rPr>
              <w:t>)</w:t>
            </w:r>
          </w:p>
        </w:tc>
        <w:tc>
          <w:tcPr>
            <w:tcW w:w="2070" w:type="dxa"/>
            <w:shd w:val="clear" w:color="auto" w:fill="auto"/>
            <w:noWrap/>
            <w:vAlign w:val="bottom"/>
            <w:hideMark/>
          </w:tcPr>
          <w:p w14:paraId="72AC1CC6" w14:textId="77777777" w:rsidR="00054CDE" w:rsidRPr="00D504BC" w:rsidRDefault="00054CDE">
            <w:pPr>
              <w:jc w:val="right"/>
              <w:rPr>
                <w:rFonts w:ascii="Calibri" w:hAnsi="Calibri" w:cs="Calibri"/>
                <w:color w:val="000000"/>
                <w:sz w:val="20"/>
                <w:szCs w:val="20"/>
              </w:rPr>
            </w:pPr>
            <w:r w:rsidRPr="00D504BC">
              <w:rPr>
                <w:rFonts w:ascii="Calibri" w:hAnsi="Calibri" w:cs="Calibri"/>
                <w:color w:val="000000"/>
                <w:sz w:val="20"/>
                <w:szCs w:val="20"/>
              </w:rPr>
              <w:t>$30.00</w:t>
            </w:r>
          </w:p>
        </w:tc>
        <w:tc>
          <w:tcPr>
            <w:tcW w:w="2070" w:type="dxa"/>
            <w:shd w:val="clear" w:color="auto" w:fill="auto"/>
            <w:noWrap/>
            <w:vAlign w:val="bottom"/>
            <w:hideMark/>
          </w:tcPr>
          <w:p w14:paraId="4FD8C6BF" w14:textId="77777777" w:rsidR="00054CDE" w:rsidRPr="00D504BC" w:rsidRDefault="00054CDE">
            <w:pPr>
              <w:jc w:val="right"/>
              <w:rPr>
                <w:rFonts w:ascii="Calibri" w:hAnsi="Calibri" w:cs="Calibri"/>
                <w:color w:val="000000"/>
                <w:sz w:val="20"/>
                <w:szCs w:val="20"/>
              </w:rPr>
            </w:pPr>
            <w:r w:rsidRPr="00D504BC">
              <w:rPr>
                <w:rFonts w:ascii="Calibri" w:hAnsi="Calibri" w:cs="Calibri"/>
                <w:color w:val="000000"/>
                <w:sz w:val="20"/>
                <w:szCs w:val="20"/>
              </w:rPr>
              <w:t>$30.00</w:t>
            </w:r>
          </w:p>
        </w:tc>
        <w:tc>
          <w:tcPr>
            <w:tcW w:w="1150" w:type="dxa"/>
            <w:shd w:val="clear" w:color="auto" w:fill="auto"/>
            <w:noWrap/>
            <w:vAlign w:val="bottom"/>
            <w:hideMark/>
          </w:tcPr>
          <w:p w14:paraId="4A4D801A" w14:textId="77777777" w:rsidR="00054CDE" w:rsidRPr="00D504BC" w:rsidRDefault="00054CDE">
            <w:pPr>
              <w:jc w:val="right"/>
              <w:rPr>
                <w:rFonts w:ascii="Calibri" w:hAnsi="Calibri" w:cs="Calibri"/>
                <w:color w:val="000000"/>
                <w:sz w:val="20"/>
                <w:szCs w:val="20"/>
              </w:rPr>
            </w:pPr>
            <w:r w:rsidRPr="00D504BC">
              <w:rPr>
                <w:rFonts w:ascii="Calibri" w:hAnsi="Calibri" w:cs="Calibri"/>
                <w:color w:val="000000"/>
                <w:sz w:val="20"/>
                <w:szCs w:val="20"/>
              </w:rPr>
              <w:t>3.3%</w:t>
            </w:r>
          </w:p>
        </w:tc>
      </w:tr>
      <w:tr w:rsidR="00054CDE" w:rsidRPr="00D504BC" w14:paraId="4DD4BEC3" w14:textId="77777777" w:rsidTr="005B234E">
        <w:trPr>
          <w:trHeight w:val="290"/>
        </w:trPr>
        <w:tc>
          <w:tcPr>
            <w:tcW w:w="4765" w:type="dxa"/>
            <w:shd w:val="clear" w:color="auto" w:fill="auto"/>
            <w:noWrap/>
            <w:vAlign w:val="bottom"/>
          </w:tcPr>
          <w:p w14:paraId="67CD406D" w14:textId="4DF36022" w:rsidR="00054CDE" w:rsidRPr="00D504BC" w:rsidRDefault="00054CDE" w:rsidP="00FF396B">
            <w:pPr>
              <w:rPr>
                <w:rFonts w:ascii="Calibri" w:hAnsi="Calibri" w:cs="Calibri"/>
                <w:color w:val="000000"/>
                <w:sz w:val="20"/>
                <w:szCs w:val="20"/>
              </w:rPr>
            </w:pPr>
            <w:r w:rsidRPr="00D504BC">
              <w:rPr>
                <w:rFonts w:ascii="Calibri" w:hAnsi="Calibri" w:cs="Calibri"/>
                <w:color w:val="000000"/>
                <w:sz w:val="20"/>
                <w:szCs w:val="20"/>
              </w:rPr>
              <w:t>LMAs - more flexibility</w:t>
            </w:r>
            <w:r>
              <w:rPr>
                <w:rFonts w:ascii="Calibri" w:hAnsi="Calibri" w:cs="Calibri"/>
                <w:color w:val="000000"/>
                <w:sz w:val="20"/>
                <w:szCs w:val="20"/>
              </w:rPr>
              <w:t xml:space="preserve"> (¶</w:t>
            </w:r>
            <w:r>
              <w:rPr>
                <w:rFonts w:ascii="Calibri" w:hAnsi="Calibri" w:cs="Calibri"/>
                <w:color w:val="000000"/>
                <w:sz w:val="20"/>
                <w:szCs w:val="20"/>
              </w:rPr>
              <w:fldChar w:fldCharType="begin"/>
            </w:r>
            <w:r>
              <w:rPr>
                <w:rFonts w:ascii="Calibri" w:hAnsi="Calibri" w:cs="Calibri"/>
                <w:color w:val="000000"/>
                <w:sz w:val="20"/>
                <w:szCs w:val="20"/>
              </w:rPr>
              <w:instrText xml:space="preserve"> REF _Ref53989432 \r \h </w:instrText>
            </w:r>
            <w:r>
              <w:rPr>
                <w:rFonts w:ascii="Calibri" w:hAnsi="Calibri" w:cs="Calibri"/>
                <w:color w:val="000000"/>
                <w:sz w:val="20"/>
                <w:szCs w:val="20"/>
              </w:rPr>
            </w:r>
            <w:r>
              <w:rPr>
                <w:rFonts w:ascii="Calibri" w:hAnsi="Calibri" w:cs="Calibri"/>
                <w:color w:val="000000"/>
                <w:sz w:val="20"/>
                <w:szCs w:val="20"/>
              </w:rPr>
              <w:fldChar w:fldCharType="separate"/>
            </w:r>
            <w:r w:rsidR="00A74C32">
              <w:rPr>
                <w:rFonts w:ascii="Calibri" w:hAnsi="Calibri" w:cs="Calibri"/>
                <w:color w:val="000000"/>
                <w:sz w:val="20"/>
                <w:szCs w:val="20"/>
              </w:rPr>
              <w:t>31</w:t>
            </w:r>
            <w:r>
              <w:rPr>
                <w:rFonts w:ascii="Calibri" w:hAnsi="Calibri" w:cs="Calibri"/>
                <w:color w:val="000000"/>
                <w:sz w:val="20"/>
                <w:szCs w:val="20"/>
              </w:rPr>
              <w:fldChar w:fldCharType="end"/>
            </w:r>
            <w:r>
              <w:rPr>
                <w:rFonts w:ascii="Calibri" w:hAnsi="Calibri" w:cs="Calibri"/>
                <w:color w:val="000000"/>
                <w:sz w:val="20"/>
                <w:szCs w:val="20"/>
              </w:rPr>
              <w:t>)</w:t>
            </w:r>
          </w:p>
        </w:tc>
        <w:tc>
          <w:tcPr>
            <w:tcW w:w="2070" w:type="dxa"/>
            <w:shd w:val="clear" w:color="auto" w:fill="auto"/>
            <w:noWrap/>
            <w:vAlign w:val="bottom"/>
          </w:tcPr>
          <w:p w14:paraId="482D8F35" w14:textId="2461C4FE" w:rsidR="00054CDE" w:rsidRPr="00D504BC" w:rsidRDefault="00054CDE" w:rsidP="00FF396B">
            <w:pPr>
              <w:jc w:val="right"/>
              <w:rPr>
                <w:rFonts w:ascii="Calibri" w:hAnsi="Calibri" w:cs="Calibri"/>
                <w:color w:val="000000"/>
                <w:sz w:val="20"/>
                <w:szCs w:val="20"/>
              </w:rPr>
            </w:pPr>
            <w:r w:rsidRPr="00D504BC">
              <w:rPr>
                <w:rFonts w:ascii="Calibri" w:hAnsi="Calibri" w:cs="Calibri"/>
                <w:color w:val="000000"/>
                <w:sz w:val="20"/>
                <w:szCs w:val="20"/>
              </w:rPr>
              <w:t>Unknown</w:t>
            </w:r>
          </w:p>
        </w:tc>
        <w:tc>
          <w:tcPr>
            <w:tcW w:w="2070" w:type="dxa"/>
            <w:shd w:val="clear" w:color="auto" w:fill="auto"/>
            <w:noWrap/>
            <w:vAlign w:val="bottom"/>
          </w:tcPr>
          <w:p w14:paraId="16DBB687" w14:textId="55CF04C9" w:rsidR="00054CDE" w:rsidRPr="00D504BC" w:rsidRDefault="00054CDE" w:rsidP="00FF396B">
            <w:pPr>
              <w:jc w:val="right"/>
              <w:rPr>
                <w:rFonts w:ascii="Calibri" w:hAnsi="Calibri" w:cs="Calibri"/>
                <w:color w:val="000000"/>
                <w:sz w:val="20"/>
                <w:szCs w:val="20"/>
              </w:rPr>
            </w:pPr>
            <w:r w:rsidRPr="00D504BC">
              <w:rPr>
                <w:rFonts w:ascii="Calibri" w:hAnsi="Calibri" w:cs="Calibri"/>
                <w:color w:val="000000"/>
                <w:sz w:val="20"/>
                <w:szCs w:val="20"/>
              </w:rPr>
              <w:t>Unknown</w:t>
            </w:r>
          </w:p>
        </w:tc>
        <w:tc>
          <w:tcPr>
            <w:tcW w:w="1150" w:type="dxa"/>
            <w:shd w:val="clear" w:color="auto" w:fill="auto"/>
            <w:noWrap/>
            <w:vAlign w:val="bottom"/>
          </w:tcPr>
          <w:p w14:paraId="05F61D75" w14:textId="77777777" w:rsidR="00054CDE" w:rsidRPr="00D504BC" w:rsidRDefault="00054CDE" w:rsidP="00FF396B">
            <w:pPr>
              <w:jc w:val="right"/>
              <w:rPr>
                <w:rFonts w:ascii="Calibri" w:hAnsi="Calibri" w:cs="Calibri"/>
                <w:color w:val="000000"/>
                <w:sz w:val="20"/>
                <w:szCs w:val="20"/>
              </w:rPr>
            </w:pPr>
          </w:p>
        </w:tc>
      </w:tr>
      <w:tr w:rsidR="00054CDE" w:rsidRPr="00D504BC" w14:paraId="494C7057" w14:textId="77777777" w:rsidTr="005B234E">
        <w:trPr>
          <w:trHeight w:val="290"/>
        </w:trPr>
        <w:tc>
          <w:tcPr>
            <w:tcW w:w="4765" w:type="dxa"/>
            <w:shd w:val="clear" w:color="auto" w:fill="auto"/>
            <w:noWrap/>
            <w:vAlign w:val="bottom"/>
            <w:hideMark/>
          </w:tcPr>
          <w:p w14:paraId="7B67BF1C" w14:textId="1EB499DE" w:rsidR="00054CDE" w:rsidRPr="00D504BC" w:rsidRDefault="00054CDE" w:rsidP="00FF396B">
            <w:pPr>
              <w:rPr>
                <w:rFonts w:ascii="Calibri" w:hAnsi="Calibri" w:cs="Calibri"/>
                <w:color w:val="000000"/>
                <w:sz w:val="20"/>
                <w:szCs w:val="20"/>
              </w:rPr>
            </w:pPr>
            <w:r w:rsidRPr="00D504BC">
              <w:rPr>
                <w:rFonts w:ascii="Calibri" w:hAnsi="Calibri" w:cs="Calibri"/>
                <w:color w:val="000000"/>
                <w:sz w:val="20"/>
                <w:szCs w:val="20"/>
              </w:rPr>
              <w:t xml:space="preserve">CCD payments - cancellation in 2019/20 </w:t>
            </w:r>
            <w:r>
              <w:rPr>
                <w:rFonts w:ascii="Calibri" w:hAnsi="Calibri" w:cs="Calibri"/>
                <w:color w:val="000000"/>
                <w:sz w:val="20"/>
                <w:szCs w:val="20"/>
              </w:rPr>
              <w:t>(¶</w:t>
            </w:r>
            <w:r>
              <w:rPr>
                <w:rFonts w:ascii="Calibri" w:hAnsi="Calibri" w:cs="Calibri"/>
                <w:color w:val="000000"/>
                <w:sz w:val="20"/>
                <w:szCs w:val="20"/>
              </w:rPr>
              <w:fldChar w:fldCharType="begin"/>
            </w:r>
            <w:r>
              <w:rPr>
                <w:rFonts w:ascii="Calibri" w:hAnsi="Calibri" w:cs="Calibri"/>
                <w:color w:val="000000"/>
                <w:sz w:val="20"/>
                <w:szCs w:val="20"/>
              </w:rPr>
              <w:instrText xml:space="preserve"> REF _Ref53989476 \r \h </w:instrText>
            </w:r>
            <w:r>
              <w:rPr>
                <w:rFonts w:ascii="Calibri" w:hAnsi="Calibri" w:cs="Calibri"/>
                <w:color w:val="000000"/>
                <w:sz w:val="20"/>
                <w:szCs w:val="20"/>
              </w:rPr>
            </w:r>
            <w:r>
              <w:rPr>
                <w:rFonts w:ascii="Calibri" w:hAnsi="Calibri" w:cs="Calibri"/>
                <w:color w:val="000000"/>
                <w:sz w:val="20"/>
                <w:szCs w:val="20"/>
              </w:rPr>
              <w:fldChar w:fldCharType="separate"/>
            </w:r>
            <w:r w:rsidR="00A74C32">
              <w:rPr>
                <w:rFonts w:ascii="Calibri" w:hAnsi="Calibri" w:cs="Calibri"/>
                <w:color w:val="000000"/>
                <w:sz w:val="20"/>
                <w:szCs w:val="20"/>
              </w:rPr>
              <w:t>36</w:t>
            </w:r>
            <w:r>
              <w:rPr>
                <w:rFonts w:ascii="Calibri" w:hAnsi="Calibri" w:cs="Calibri"/>
                <w:color w:val="000000"/>
                <w:sz w:val="20"/>
                <w:szCs w:val="20"/>
              </w:rPr>
              <w:fldChar w:fldCharType="end"/>
            </w:r>
            <w:r>
              <w:rPr>
                <w:rFonts w:ascii="Calibri" w:hAnsi="Calibri" w:cs="Calibri"/>
                <w:color w:val="000000"/>
                <w:sz w:val="20"/>
                <w:szCs w:val="20"/>
              </w:rPr>
              <w:t>)</w:t>
            </w:r>
          </w:p>
        </w:tc>
        <w:tc>
          <w:tcPr>
            <w:tcW w:w="2070" w:type="dxa"/>
            <w:shd w:val="clear" w:color="auto" w:fill="auto"/>
            <w:noWrap/>
            <w:vAlign w:val="bottom"/>
            <w:hideMark/>
          </w:tcPr>
          <w:p w14:paraId="561B930D" w14:textId="77777777" w:rsidR="00054CDE" w:rsidRPr="00D504BC" w:rsidRDefault="00054CDE" w:rsidP="00FF396B">
            <w:pPr>
              <w:jc w:val="right"/>
              <w:rPr>
                <w:rFonts w:ascii="Calibri" w:hAnsi="Calibri" w:cs="Calibri"/>
                <w:color w:val="000000"/>
                <w:sz w:val="20"/>
                <w:szCs w:val="20"/>
              </w:rPr>
            </w:pPr>
            <w:r w:rsidRPr="00D504BC">
              <w:rPr>
                <w:rFonts w:ascii="Calibri" w:hAnsi="Calibri" w:cs="Calibri"/>
                <w:color w:val="000000"/>
                <w:sz w:val="20"/>
                <w:szCs w:val="20"/>
              </w:rPr>
              <w:t>$48.00</w:t>
            </w:r>
          </w:p>
        </w:tc>
        <w:tc>
          <w:tcPr>
            <w:tcW w:w="2070" w:type="dxa"/>
            <w:shd w:val="clear" w:color="auto" w:fill="auto"/>
            <w:noWrap/>
            <w:vAlign w:val="bottom"/>
            <w:hideMark/>
          </w:tcPr>
          <w:p w14:paraId="7AE5398D" w14:textId="77777777" w:rsidR="00054CDE" w:rsidRPr="00D504BC" w:rsidRDefault="00054CDE" w:rsidP="00FF396B">
            <w:pPr>
              <w:jc w:val="right"/>
              <w:rPr>
                <w:rFonts w:ascii="Calibri" w:hAnsi="Calibri" w:cs="Calibri"/>
                <w:color w:val="000000"/>
                <w:sz w:val="20"/>
                <w:szCs w:val="20"/>
              </w:rPr>
            </w:pPr>
            <w:r w:rsidRPr="00D504BC">
              <w:rPr>
                <w:rFonts w:ascii="Calibri" w:hAnsi="Calibri" w:cs="Calibri"/>
                <w:color w:val="000000"/>
                <w:sz w:val="20"/>
                <w:szCs w:val="20"/>
              </w:rPr>
              <w:t>$78.00</w:t>
            </w:r>
          </w:p>
        </w:tc>
        <w:tc>
          <w:tcPr>
            <w:tcW w:w="1150" w:type="dxa"/>
            <w:shd w:val="clear" w:color="auto" w:fill="auto"/>
            <w:noWrap/>
            <w:vAlign w:val="bottom"/>
            <w:hideMark/>
          </w:tcPr>
          <w:p w14:paraId="46DDE2A3" w14:textId="77777777" w:rsidR="00054CDE" w:rsidRPr="00D504BC" w:rsidRDefault="00054CDE" w:rsidP="00FF396B">
            <w:pPr>
              <w:jc w:val="right"/>
              <w:rPr>
                <w:rFonts w:ascii="Calibri" w:hAnsi="Calibri" w:cs="Calibri"/>
                <w:color w:val="000000"/>
                <w:sz w:val="20"/>
                <w:szCs w:val="20"/>
              </w:rPr>
            </w:pPr>
            <w:r w:rsidRPr="00D504BC">
              <w:rPr>
                <w:rFonts w:ascii="Calibri" w:hAnsi="Calibri" w:cs="Calibri"/>
                <w:color w:val="000000"/>
                <w:sz w:val="20"/>
                <w:szCs w:val="20"/>
              </w:rPr>
              <w:t>8.7%</w:t>
            </w:r>
          </w:p>
        </w:tc>
      </w:tr>
      <w:tr w:rsidR="00054CDE" w:rsidRPr="00D504BC" w14:paraId="075967E2" w14:textId="77777777" w:rsidTr="005B234E">
        <w:trPr>
          <w:trHeight w:val="290"/>
        </w:trPr>
        <w:tc>
          <w:tcPr>
            <w:tcW w:w="4765" w:type="dxa"/>
            <w:shd w:val="clear" w:color="auto" w:fill="auto"/>
            <w:noWrap/>
            <w:vAlign w:val="bottom"/>
            <w:hideMark/>
          </w:tcPr>
          <w:p w14:paraId="147E8D61" w14:textId="77777777" w:rsidR="00054CDE" w:rsidRPr="00D504BC" w:rsidRDefault="00054CDE" w:rsidP="00FF396B">
            <w:pPr>
              <w:rPr>
                <w:rFonts w:ascii="Calibri" w:hAnsi="Calibri" w:cs="Calibri"/>
                <w:color w:val="000000"/>
                <w:sz w:val="20"/>
                <w:szCs w:val="20"/>
              </w:rPr>
            </w:pPr>
            <w:r w:rsidRPr="00D504BC">
              <w:rPr>
                <w:rFonts w:ascii="Calibri" w:hAnsi="Calibri" w:cs="Calibri"/>
                <w:color w:val="000000"/>
                <w:sz w:val="20"/>
                <w:szCs w:val="20"/>
              </w:rPr>
              <w:lastRenderedPageBreak/>
              <w:t xml:space="preserve">Replacement of local programming with other programming </w:t>
            </w:r>
          </w:p>
        </w:tc>
        <w:tc>
          <w:tcPr>
            <w:tcW w:w="2070" w:type="dxa"/>
            <w:shd w:val="clear" w:color="auto" w:fill="auto"/>
            <w:noWrap/>
            <w:vAlign w:val="bottom"/>
            <w:hideMark/>
          </w:tcPr>
          <w:p w14:paraId="5602788F" w14:textId="77777777" w:rsidR="00054CDE" w:rsidRPr="00D504BC" w:rsidRDefault="00054CDE" w:rsidP="00FF396B">
            <w:pPr>
              <w:rPr>
                <w:rFonts w:ascii="Calibri" w:hAnsi="Calibri" w:cs="Calibri"/>
                <w:color w:val="000000"/>
                <w:sz w:val="20"/>
                <w:szCs w:val="20"/>
              </w:rPr>
            </w:pPr>
          </w:p>
        </w:tc>
        <w:tc>
          <w:tcPr>
            <w:tcW w:w="2070" w:type="dxa"/>
            <w:shd w:val="clear" w:color="auto" w:fill="auto"/>
            <w:noWrap/>
            <w:vAlign w:val="bottom"/>
            <w:hideMark/>
          </w:tcPr>
          <w:p w14:paraId="37D7FA3D" w14:textId="77777777" w:rsidR="00054CDE" w:rsidRPr="00D504BC" w:rsidRDefault="00054CDE" w:rsidP="00FF396B">
            <w:pPr>
              <w:rPr>
                <w:sz w:val="20"/>
                <w:szCs w:val="20"/>
              </w:rPr>
            </w:pPr>
          </w:p>
        </w:tc>
        <w:tc>
          <w:tcPr>
            <w:tcW w:w="1150" w:type="dxa"/>
            <w:shd w:val="clear" w:color="auto" w:fill="auto"/>
            <w:noWrap/>
            <w:vAlign w:val="bottom"/>
            <w:hideMark/>
          </w:tcPr>
          <w:p w14:paraId="73A7CC66" w14:textId="77777777" w:rsidR="00054CDE" w:rsidRPr="00D504BC" w:rsidRDefault="00054CDE" w:rsidP="00FF396B">
            <w:pPr>
              <w:rPr>
                <w:sz w:val="20"/>
                <w:szCs w:val="20"/>
              </w:rPr>
            </w:pPr>
          </w:p>
        </w:tc>
      </w:tr>
      <w:tr w:rsidR="00054CDE" w:rsidRPr="00D504BC" w14:paraId="5993FF92" w14:textId="77777777" w:rsidTr="005B234E">
        <w:trPr>
          <w:trHeight w:val="290"/>
        </w:trPr>
        <w:tc>
          <w:tcPr>
            <w:tcW w:w="4765" w:type="dxa"/>
            <w:shd w:val="clear" w:color="auto" w:fill="auto"/>
            <w:noWrap/>
            <w:vAlign w:val="bottom"/>
            <w:hideMark/>
          </w:tcPr>
          <w:p w14:paraId="0BF30246" w14:textId="6977A6B4" w:rsidR="00054CDE" w:rsidRPr="00D504BC" w:rsidRDefault="00054CDE" w:rsidP="00FF396B">
            <w:pPr>
              <w:ind w:firstLineChars="100" w:firstLine="200"/>
              <w:rPr>
                <w:rFonts w:ascii="Calibri" w:hAnsi="Calibri" w:cs="Calibri"/>
                <w:color w:val="000000"/>
                <w:sz w:val="20"/>
                <w:szCs w:val="20"/>
              </w:rPr>
            </w:pPr>
            <w:r w:rsidRPr="00D504BC">
              <w:rPr>
                <w:rFonts w:ascii="Calibri" w:hAnsi="Calibri" w:cs="Calibri"/>
                <w:color w:val="000000"/>
                <w:sz w:val="20"/>
                <w:szCs w:val="20"/>
              </w:rPr>
              <w:t>Local programming - 50% reduction (radio)</w:t>
            </w:r>
            <w:r>
              <w:rPr>
                <w:rFonts w:ascii="Calibri" w:hAnsi="Calibri" w:cs="Calibri"/>
                <w:color w:val="000000"/>
                <w:sz w:val="20"/>
                <w:szCs w:val="20"/>
              </w:rPr>
              <w:t xml:space="preserve"> (¶</w:t>
            </w:r>
            <w:r>
              <w:rPr>
                <w:rFonts w:ascii="Calibri" w:hAnsi="Calibri" w:cs="Calibri"/>
                <w:color w:val="000000"/>
                <w:sz w:val="20"/>
                <w:szCs w:val="20"/>
              </w:rPr>
              <w:fldChar w:fldCharType="begin"/>
            </w:r>
            <w:r>
              <w:rPr>
                <w:rFonts w:ascii="Calibri" w:hAnsi="Calibri" w:cs="Calibri"/>
                <w:color w:val="000000"/>
                <w:sz w:val="20"/>
                <w:szCs w:val="20"/>
              </w:rPr>
              <w:instrText xml:space="preserve"> REF _Ref53989529 \r \h </w:instrText>
            </w:r>
            <w:r>
              <w:rPr>
                <w:rFonts w:ascii="Calibri" w:hAnsi="Calibri" w:cs="Calibri"/>
                <w:color w:val="000000"/>
                <w:sz w:val="20"/>
                <w:szCs w:val="20"/>
              </w:rPr>
            </w:r>
            <w:r>
              <w:rPr>
                <w:rFonts w:ascii="Calibri" w:hAnsi="Calibri" w:cs="Calibri"/>
                <w:color w:val="000000"/>
                <w:sz w:val="20"/>
                <w:szCs w:val="20"/>
              </w:rPr>
              <w:fldChar w:fldCharType="separate"/>
            </w:r>
            <w:r w:rsidR="00A74C32">
              <w:rPr>
                <w:rFonts w:ascii="Calibri" w:hAnsi="Calibri" w:cs="Calibri"/>
                <w:color w:val="000000"/>
                <w:sz w:val="20"/>
                <w:szCs w:val="20"/>
              </w:rPr>
              <w:t>47</w:t>
            </w:r>
            <w:r>
              <w:rPr>
                <w:rFonts w:ascii="Calibri" w:hAnsi="Calibri" w:cs="Calibri"/>
                <w:color w:val="000000"/>
                <w:sz w:val="20"/>
                <w:szCs w:val="20"/>
              </w:rPr>
              <w:fldChar w:fldCharType="end"/>
            </w:r>
            <w:r>
              <w:rPr>
                <w:rFonts w:ascii="Calibri" w:hAnsi="Calibri" w:cs="Calibri"/>
                <w:color w:val="000000"/>
                <w:sz w:val="20"/>
                <w:szCs w:val="20"/>
              </w:rPr>
              <w:t>)</w:t>
            </w:r>
          </w:p>
        </w:tc>
        <w:tc>
          <w:tcPr>
            <w:tcW w:w="2070" w:type="dxa"/>
            <w:shd w:val="clear" w:color="auto" w:fill="auto"/>
            <w:noWrap/>
            <w:vAlign w:val="bottom"/>
            <w:hideMark/>
          </w:tcPr>
          <w:p w14:paraId="04AB019D" w14:textId="77777777" w:rsidR="00054CDE" w:rsidRPr="00D504BC" w:rsidRDefault="00054CDE" w:rsidP="00FF396B">
            <w:pPr>
              <w:jc w:val="right"/>
              <w:rPr>
                <w:rFonts w:ascii="Calibri" w:hAnsi="Calibri" w:cs="Calibri"/>
                <w:color w:val="000000"/>
                <w:sz w:val="20"/>
                <w:szCs w:val="20"/>
              </w:rPr>
            </w:pPr>
            <w:r w:rsidRPr="00D504BC">
              <w:rPr>
                <w:rFonts w:ascii="Calibri" w:hAnsi="Calibri" w:cs="Calibri"/>
                <w:color w:val="000000"/>
                <w:sz w:val="20"/>
                <w:szCs w:val="20"/>
              </w:rPr>
              <w:t>$241.30</w:t>
            </w:r>
          </w:p>
        </w:tc>
        <w:tc>
          <w:tcPr>
            <w:tcW w:w="2070" w:type="dxa"/>
            <w:shd w:val="clear" w:color="auto" w:fill="auto"/>
            <w:noWrap/>
            <w:vAlign w:val="bottom"/>
            <w:hideMark/>
          </w:tcPr>
          <w:p w14:paraId="2F6990C5" w14:textId="77777777" w:rsidR="00054CDE" w:rsidRPr="00D504BC" w:rsidRDefault="00054CDE" w:rsidP="00FF396B">
            <w:pPr>
              <w:jc w:val="right"/>
              <w:rPr>
                <w:rFonts w:ascii="Calibri" w:hAnsi="Calibri" w:cs="Calibri"/>
                <w:color w:val="000000"/>
                <w:sz w:val="20"/>
                <w:szCs w:val="20"/>
              </w:rPr>
            </w:pPr>
            <w:r w:rsidRPr="00D504BC">
              <w:rPr>
                <w:rFonts w:ascii="Calibri" w:hAnsi="Calibri" w:cs="Calibri"/>
                <w:color w:val="000000"/>
                <w:sz w:val="20"/>
                <w:szCs w:val="20"/>
              </w:rPr>
              <w:t>$319.30</w:t>
            </w:r>
          </w:p>
        </w:tc>
        <w:tc>
          <w:tcPr>
            <w:tcW w:w="1150" w:type="dxa"/>
            <w:shd w:val="clear" w:color="auto" w:fill="auto"/>
            <w:noWrap/>
            <w:vAlign w:val="bottom"/>
            <w:hideMark/>
          </w:tcPr>
          <w:p w14:paraId="7FE399E6" w14:textId="77777777" w:rsidR="00054CDE" w:rsidRPr="00D504BC" w:rsidRDefault="00054CDE" w:rsidP="00FF396B">
            <w:pPr>
              <w:jc w:val="right"/>
              <w:rPr>
                <w:rFonts w:ascii="Calibri" w:hAnsi="Calibri" w:cs="Calibri"/>
                <w:color w:val="000000"/>
                <w:sz w:val="20"/>
                <w:szCs w:val="20"/>
              </w:rPr>
            </w:pPr>
            <w:r w:rsidRPr="00D504BC">
              <w:rPr>
                <w:rFonts w:ascii="Calibri" w:hAnsi="Calibri" w:cs="Calibri"/>
                <w:color w:val="000000"/>
                <w:sz w:val="20"/>
                <w:szCs w:val="20"/>
              </w:rPr>
              <w:t>35.6%</w:t>
            </w:r>
          </w:p>
        </w:tc>
      </w:tr>
      <w:tr w:rsidR="00054CDE" w:rsidRPr="00D504BC" w14:paraId="32FBF450" w14:textId="77777777" w:rsidTr="005B234E">
        <w:trPr>
          <w:trHeight w:val="290"/>
        </w:trPr>
        <w:tc>
          <w:tcPr>
            <w:tcW w:w="4765" w:type="dxa"/>
            <w:shd w:val="clear" w:color="auto" w:fill="auto"/>
            <w:noWrap/>
            <w:vAlign w:val="bottom"/>
            <w:hideMark/>
          </w:tcPr>
          <w:p w14:paraId="1DC056FD" w14:textId="62FF47D7" w:rsidR="00054CDE" w:rsidRPr="00D504BC" w:rsidRDefault="00054CDE" w:rsidP="00FF396B">
            <w:pPr>
              <w:ind w:firstLineChars="100" w:firstLine="200"/>
              <w:rPr>
                <w:rFonts w:ascii="Calibri" w:hAnsi="Calibri" w:cs="Calibri"/>
                <w:color w:val="000000"/>
                <w:sz w:val="20"/>
                <w:szCs w:val="20"/>
              </w:rPr>
            </w:pPr>
            <w:r w:rsidRPr="00D504BC">
              <w:rPr>
                <w:rFonts w:ascii="Calibri" w:hAnsi="Calibri" w:cs="Calibri"/>
                <w:color w:val="000000"/>
                <w:sz w:val="20"/>
                <w:szCs w:val="20"/>
              </w:rPr>
              <w:t>Local programming - 50% reduction (TV)</w:t>
            </w:r>
            <w:r>
              <w:rPr>
                <w:rFonts w:ascii="Calibri" w:hAnsi="Calibri" w:cs="Calibri"/>
                <w:color w:val="000000"/>
                <w:sz w:val="20"/>
                <w:szCs w:val="20"/>
              </w:rPr>
              <w:t xml:space="preserve"> (¶</w:t>
            </w:r>
            <w:r>
              <w:rPr>
                <w:rFonts w:ascii="Calibri" w:hAnsi="Calibri" w:cs="Calibri"/>
                <w:color w:val="000000"/>
                <w:sz w:val="20"/>
                <w:szCs w:val="20"/>
              </w:rPr>
              <w:fldChar w:fldCharType="begin"/>
            </w:r>
            <w:r>
              <w:rPr>
                <w:rFonts w:ascii="Calibri" w:hAnsi="Calibri" w:cs="Calibri"/>
                <w:color w:val="000000"/>
                <w:sz w:val="20"/>
                <w:szCs w:val="20"/>
              </w:rPr>
              <w:instrText xml:space="preserve"> REF _Ref53989549 \r \h </w:instrText>
            </w:r>
            <w:r>
              <w:rPr>
                <w:rFonts w:ascii="Calibri" w:hAnsi="Calibri" w:cs="Calibri"/>
                <w:color w:val="000000"/>
                <w:sz w:val="20"/>
                <w:szCs w:val="20"/>
              </w:rPr>
            </w:r>
            <w:r>
              <w:rPr>
                <w:rFonts w:ascii="Calibri" w:hAnsi="Calibri" w:cs="Calibri"/>
                <w:color w:val="000000"/>
                <w:sz w:val="20"/>
                <w:szCs w:val="20"/>
              </w:rPr>
              <w:fldChar w:fldCharType="separate"/>
            </w:r>
            <w:r w:rsidR="00A74C32">
              <w:rPr>
                <w:rFonts w:ascii="Calibri" w:hAnsi="Calibri" w:cs="Calibri"/>
                <w:color w:val="000000"/>
                <w:sz w:val="20"/>
                <w:szCs w:val="20"/>
              </w:rPr>
              <w:t>46</w:t>
            </w:r>
            <w:r>
              <w:rPr>
                <w:rFonts w:ascii="Calibri" w:hAnsi="Calibri" w:cs="Calibri"/>
                <w:color w:val="000000"/>
                <w:sz w:val="20"/>
                <w:szCs w:val="20"/>
              </w:rPr>
              <w:fldChar w:fldCharType="end"/>
            </w:r>
            <w:r>
              <w:rPr>
                <w:rFonts w:ascii="Calibri" w:hAnsi="Calibri" w:cs="Calibri"/>
                <w:color w:val="000000"/>
                <w:sz w:val="20"/>
                <w:szCs w:val="20"/>
              </w:rPr>
              <w:t>)</w:t>
            </w:r>
          </w:p>
        </w:tc>
        <w:tc>
          <w:tcPr>
            <w:tcW w:w="2070" w:type="dxa"/>
            <w:shd w:val="clear" w:color="auto" w:fill="auto"/>
            <w:noWrap/>
            <w:vAlign w:val="bottom"/>
            <w:hideMark/>
          </w:tcPr>
          <w:p w14:paraId="76D5DE4E" w14:textId="77777777" w:rsidR="00054CDE" w:rsidRPr="00D504BC" w:rsidRDefault="00054CDE" w:rsidP="00FF396B">
            <w:pPr>
              <w:jc w:val="right"/>
              <w:rPr>
                <w:rFonts w:ascii="Calibri" w:hAnsi="Calibri" w:cs="Calibri"/>
                <w:color w:val="000000"/>
                <w:sz w:val="20"/>
                <w:szCs w:val="20"/>
              </w:rPr>
            </w:pPr>
            <w:r w:rsidRPr="00D504BC">
              <w:rPr>
                <w:rFonts w:ascii="Calibri" w:hAnsi="Calibri" w:cs="Calibri"/>
                <w:color w:val="000000"/>
                <w:sz w:val="20"/>
                <w:szCs w:val="20"/>
              </w:rPr>
              <w:t>$211.20</w:t>
            </w:r>
          </w:p>
        </w:tc>
        <w:tc>
          <w:tcPr>
            <w:tcW w:w="2070" w:type="dxa"/>
            <w:shd w:val="clear" w:color="auto" w:fill="auto"/>
            <w:noWrap/>
            <w:vAlign w:val="bottom"/>
            <w:hideMark/>
          </w:tcPr>
          <w:p w14:paraId="05BE5199" w14:textId="77777777" w:rsidR="00054CDE" w:rsidRPr="00D504BC" w:rsidRDefault="00054CDE" w:rsidP="00FF396B">
            <w:pPr>
              <w:jc w:val="right"/>
              <w:rPr>
                <w:rFonts w:ascii="Calibri" w:hAnsi="Calibri" w:cs="Calibri"/>
                <w:color w:val="000000"/>
                <w:sz w:val="20"/>
                <w:szCs w:val="20"/>
              </w:rPr>
            </w:pPr>
            <w:r w:rsidRPr="00D504BC">
              <w:rPr>
                <w:rFonts w:ascii="Calibri" w:hAnsi="Calibri" w:cs="Calibri"/>
                <w:color w:val="000000"/>
                <w:sz w:val="20"/>
                <w:szCs w:val="20"/>
              </w:rPr>
              <w:t>$530.50</w:t>
            </w:r>
          </w:p>
        </w:tc>
        <w:tc>
          <w:tcPr>
            <w:tcW w:w="1150" w:type="dxa"/>
            <w:shd w:val="clear" w:color="auto" w:fill="auto"/>
            <w:noWrap/>
            <w:vAlign w:val="bottom"/>
            <w:hideMark/>
          </w:tcPr>
          <w:p w14:paraId="714D066A" w14:textId="77777777" w:rsidR="00054CDE" w:rsidRPr="00D504BC" w:rsidRDefault="00054CDE" w:rsidP="00FF396B">
            <w:pPr>
              <w:jc w:val="right"/>
              <w:rPr>
                <w:rFonts w:ascii="Calibri" w:hAnsi="Calibri" w:cs="Calibri"/>
                <w:color w:val="000000"/>
                <w:sz w:val="20"/>
                <w:szCs w:val="20"/>
              </w:rPr>
            </w:pPr>
            <w:r w:rsidRPr="00D504BC">
              <w:rPr>
                <w:rFonts w:ascii="Calibri" w:hAnsi="Calibri" w:cs="Calibri"/>
                <w:color w:val="000000"/>
                <w:sz w:val="20"/>
                <w:szCs w:val="20"/>
              </w:rPr>
              <w:t>59.2%</w:t>
            </w:r>
          </w:p>
        </w:tc>
      </w:tr>
      <w:tr w:rsidR="00054CDE" w:rsidRPr="00D504BC" w14:paraId="75348C0C" w14:textId="77777777" w:rsidTr="005B234E">
        <w:trPr>
          <w:trHeight w:val="290"/>
        </w:trPr>
        <w:tc>
          <w:tcPr>
            <w:tcW w:w="4765" w:type="dxa"/>
            <w:shd w:val="clear" w:color="auto" w:fill="auto"/>
            <w:noWrap/>
            <w:vAlign w:val="bottom"/>
            <w:hideMark/>
          </w:tcPr>
          <w:p w14:paraId="72DA0F7A" w14:textId="6AE2C702" w:rsidR="00054CDE" w:rsidRPr="00D504BC" w:rsidRDefault="00054CDE" w:rsidP="00FF396B">
            <w:pPr>
              <w:rPr>
                <w:rFonts w:ascii="Calibri" w:hAnsi="Calibri" w:cs="Calibri"/>
                <w:color w:val="000000"/>
                <w:sz w:val="20"/>
                <w:szCs w:val="20"/>
              </w:rPr>
            </w:pPr>
            <w:r w:rsidRPr="00D504BC">
              <w:rPr>
                <w:rFonts w:ascii="Calibri" w:hAnsi="Calibri" w:cs="Calibri"/>
                <w:color w:val="000000"/>
                <w:sz w:val="20"/>
                <w:szCs w:val="20"/>
              </w:rPr>
              <w:t>CPE requirements</w:t>
            </w:r>
            <w:r>
              <w:rPr>
                <w:rFonts w:ascii="Calibri" w:hAnsi="Calibri" w:cs="Calibri"/>
                <w:color w:val="000000"/>
                <w:sz w:val="20"/>
                <w:szCs w:val="20"/>
              </w:rPr>
              <w:t xml:space="preserve">, assuming a significant reduction </w:t>
            </w:r>
          </w:p>
        </w:tc>
        <w:tc>
          <w:tcPr>
            <w:tcW w:w="2070" w:type="dxa"/>
            <w:shd w:val="clear" w:color="auto" w:fill="auto"/>
            <w:noWrap/>
            <w:vAlign w:val="bottom"/>
            <w:hideMark/>
          </w:tcPr>
          <w:p w14:paraId="3290B47B" w14:textId="77777777" w:rsidR="00054CDE" w:rsidRPr="00D504BC" w:rsidRDefault="00054CDE" w:rsidP="00FF396B">
            <w:pPr>
              <w:rPr>
                <w:rFonts w:ascii="Calibri" w:hAnsi="Calibri" w:cs="Calibri"/>
                <w:color w:val="000000"/>
                <w:sz w:val="20"/>
                <w:szCs w:val="20"/>
              </w:rPr>
            </w:pPr>
          </w:p>
        </w:tc>
        <w:tc>
          <w:tcPr>
            <w:tcW w:w="2070" w:type="dxa"/>
            <w:shd w:val="clear" w:color="auto" w:fill="auto"/>
            <w:noWrap/>
            <w:vAlign w:val="bottom"/>
            <w:hideMark/>
          </w:tcPr>
          <w:p w14:paraId="7468A195" w14:textId="77777777" w:rsidR="00054CDE" w:rsidRPr="00D504BC" w:rsidRDefault="00054CDE" w:rsidP="00FF396B">
            <w:pPr>
              <w:jc w:val="right"/>
              <w:rPr>
                <w:sz w:val="20"/>
                <w:szCs w:val="20"/>
              </w:rPr>
            </w:pPr>
          </w:p>
        </w:tc>
        <w:tc>
          <w:tcPr>
            <w:tcW w:w="1150" w:type="dxa"/>
            <w:shd w:val="clear" w:color="auto" w:fill="auto"/>
            <w:noWrap/>
            <w:vAlign w:val="bottom"/>
            <w:hideMark/>
          </w:tcPr>
          <w:p w14:paraId="6D0BB53B" w14:textId="77777777" w:rsidR="00054CDE" w:rsidRPr="00D504BC" w:rsidRDefault="00054CDE" w:rsidP="00FF396B">
            <w:pPr>
              <w:jc w:val="right"/>
              <w:rPr>
                <w:sz w:val="20"/>
                <w:szCs w:val="20"/>
              </w:rPr>
            </w:pPr>
          </w:p>
        </w:tc>
      </w:tr>
      <w:tr w:rsidR="00054CDE" w:rsidRPr="00D504BC" w14:paraId="1606A13D" w14:textId="77777777" w:rsidTr="005B234E">
        <w:trPr>
          <w:trHeight w:val="290"/>
        </w:trPr>
        <w:tc>
          <w:tcPr>
            <w:tcW w:w="4765" w:type="dxa"/>
            <w:shd w:val="clear" w:color="auto" w:fill="auto"/>
            <w:noWrap/>
            <w:vAlign w:val="bottom"/>
            <w:hideMark/>
          </w:tcPr>
          <w:p w14:paraId="7BED8CAF" w14:textId="5AD54933" w:rsidR="00054CDE" w:rsidRPr="00D504BC" w:rsidRDefault="00054CDE" w:rsidP="00FF396B">
            <w:pPr>
              <w:ind w:firstLineChars="100" w:firstLine="200"/>
              <w:rPr>
                <w:rFonts w:ascii="Calibri" w:hAnsi="Calibri" w:cs="Calibri"/>
                <w:color w:val="000000"/>
                <w:sz w:val="20"/>
                <w:szCs w:val="20"/>
              </w:rPr>
            </w:pPr>
            <w:r w:rsidRPr="00D504BC">
              <w:rPr>
                <w:rFonts w:ascii="Calibri" w:hAnsi="Calibri" w:cs="Calibri"/>
                <w:color w:val="000000"/>
                <w:sz w:val="20"/>
                <w:szCs w:val="20"/>
              </w:rPr>
              <w:t>50% reduction</w:t>
            </w:r>
            <w:r>
              <w:rPr>
                <w:rFonts w:ascii="Calibri" w:hAnsi="Calibri" w:cs="Calibri"/>
                <w:color w:val="000000"/>
                <w:sz w:val="20"/>
                <w:szCs w:val="20"/>
              </w:rPr>
              <w:t xml:space="preserve"> (¶</w:t>
            </w:r>
            <w:r>
              <w:rPr>
                <w:rFonts w:ascii="Calibri" w:hAnsi="Calibri" w:cs="Calibri"/>
                <w:color w:val="000000"/>
                <w:sz w:val="20"/>
                <w:szCs w:val="20"/>
              </w:rPr>
              <w:fldChar w:fldCharType="begin"/>
            </w:r>
            <w:r>
              <w:rPr>
                <w:rFonts w:ascii="Calibri" w:hAnsi="Calibri" w:cs="Calibri"/>
                <w:color w:val="000000"/>
                <w:sz w:val="20"/>
                <w:szCs w:val="20"/>
              </w:rPr>
              <w:instrText xml:space="preserve"> REF _Ref53989745 \r \h </w:instrText>
            </w:r>
            <w:r>
              <w:rPr>
                <w:rFonts w:ascii="Calibri" w:hAnsi="Calibri" w:cs="Calibri"/>
                <w:color w:val="000000"/>
                <w:sz w:val="20"/>
                <w:szCs w:val="20"/>
              </w:rPr>
            </w:r>
            <w:r>
              <w:rPr>
                <w:rFonts w:ascii="Calibri" w:hAnsi="Calibri" w:cs="Calibri"/>
                <w:color w:val="000000"/>
                <w:sz w:val="20"/>
                <w:szCs w:val="20"/>
              </w:rPr>
              <w:fldChar w:fldCharType="separate"/>
            </w:r>
            <w:r w:rsidR="00A74C32">
              <w:rPr>
                <w:rFonts w:ascii="Calibri" w:hAnsi="Calibri" w:cs="Calibri"/>
                <w:color w:val="000000"/>
                <w:sz w:val="20"/>
                <w:szCs w:val="20"/>
              </w:rPr>
              <w:t>53</w:t>
            </w:r>
            <w:r>
              <w:rPr>
                <w:rFonts w:ascii="Calibri" w:hAnsi="Calibri" w:cs="Calibri"/>
                <w:color w:val="000000"/>
                <w:sz w:val="20"/>
                <w:szCs w:val="20"/>
              </w:rPr>
              <w:fldChar w:fldCharType="end"/>
            </w:r>
            <w:r>
              <w:rPr>
                <w:rFonts w:ascii="Calibri" w:hAnsi="Calibri" w:cs="Calibri"/>
                <w:color w:val="000000"/>
                <w:sz w:val="20"/>
                <w:szCs w:val="20"/>
              </w:rPr>
              <w:t>)</w:t>
            </w:r>
          </w:p>
        </w:tc>
        <w:tc>
          <w:tcPr>
            <w:tcW w:w="2070" w:type="dxa"/>
            <w:shd w:val="clear" w:color="auto" w:fill="auto"/>
            <w:noWrap/>
            <w:vAlign w:val="bottom"/>
            <w:hideMark/>
          </w:tcPr>
          <w:p w14:paraId="633B1E2B" w14:textId="77777777" w:rsidR="00054CDE" w:rsidRPr="00D504BC" w:rsidRDefault="00054CDE" w:rsidP="00FF396B">
            <w:pPr>
              <w:jc w:val="right"/>
              <w:rPr>
                <w:rFonts w:ascii="Calibri" w:hAnsi="Calibri" w:cs="Calibri"/>
                <w:color w:val="000000"/>
                <w:sz w:val="20"/>
                <w:szCs w:val="20"/>
              </w:rPr>
            </w:pPr>
            <w:r w:rsidRPr="00D504BC">
              <w:rPr>
                <w:rFonts w:ascii="Calibri" w:hAnsi="Calibri" w:cs="Calibri"/>
                <w:color w:val="000000"/>
                <w:sz w:val="20"/>
                <w:szCs w:val="20"/>
              </w:rPr>
              <w:t>$334.50</w:t>
            </w:r>
          </w:p>
        </w:tc>
        <w:tc>
          <w:tcPr>
            <w:tcW w:w="2070" w:type="dxa"/>
            <w:shd w:val="clear" w:color="auto" w:fill="auto"/>
            <w:noWrap/>
            <w:vAlign w:val="bottom"/>
            <w:hideMark/>
          </w:tcPr>
          <w:p w14:paraId="6E01368E" w14:textId="77777777" w:rsidR="00054CDE" w:rsidRPr="00D504BC" w:rsidRDefault="00054CDE" w:rsidP="00FF396B">
            <w:pPr>
              <w:jc w:val="right"/>
              <w:rPr>
                <w:rFonts w:ascii="Calibri" w:hAnsi="Calibri" w:cs="Calibri"/>
                <w:color w:val="000000"/>
                <w:sz w:val="20"/>
                <w:szCs w:val="20"/>
              </w:rPr>
            </w:pPr>
            <w:r w:rsidRPr="00D504BC">
              <w:rPr>
                <w:rFonts w:ascii="Calibri" w:hAnsi="Calibri" w:cs="Calibri"/>
                <w:color w:val="000000"/>
                <w:sz w:val="20"/>
                <w:szCs w:val="20"/>
              </w:rPr>
              <w:t>$865.00</w:t>
            </w:r>
          </w:p>
        </w:tc>
        <w:tc>
          <w:tcPr>
            <w:tcW w:w="1150" w:type="dxa"/>
            <w:shd w:val="clear" w:color="auto" w:fill="auto"/>
            <w:noWrap/>
            <w:vAlign w:val="bottom"/>
            <w:hideMark/>
          </w:tcPr>
          <w:p w14:paraId="3F96C4BF" w14:textId="77777777" w:rsidR="00054CDE" w:rsidRPr="00D504BC" w:rsidRDefault="00054CDE" w:rsidP="00FF396B">
            <w:pPr>
              <w:jc w:val="right"/>
              <w:rPr>
                <w:rFonts w:ascii="Calibri" w:hAnsi="Calibri" w:cs="Calibri"/>
                <w:color w:val="000000"/>
                <w:sz w:val="20"/>
                <w:szCs w:val="20"/>
              </w:rPr>
            </w:pPr>
            <w:r w:rsidRPr="00D504BC">
              <w:rPr>
                <w:rFonts w:ascii="Calibri" w:hAnsi="Calibri" w:cs="Calibri"/>
                <w:color w:val="000000"/>
                <w:sz w:val="20"/>
                <w:szCs w:val="20"/>
              </w:rPr>
              <w:t>96.5%</w:t>
            </w:r>
          </w:p>
        </w:tc>
      </w:tr>
      <w:tr w:rsidR="00054CDE" w:rsidRPr="00D504BC" w14:paraId="604331AC" w14:textId="77777777" w:rsidTr="005B234E">
        <w:trPr>
          <w:trHeight w:val="290"/>
        </w:trPr>
        <w:tc>
          <w:tcPr>
            <w:tcW w:w="4765" w:type="dxa"/>
            <w:shd w:val="clear" w:color="auto" w:fill="auto"/>
            <w:noWrap/>
            <w:vAlign w:val="bottom"/>
            <w:hideMark/>
          </w:tcPr>
          <w:p w14:paraId="17647070" w14:textId="5731E7B4" w:rsidR="00054CDE" w:rsidRPr="00D504BC" w:rsidRDefault="00054CDE" w:rsidP="00FF396B">
            <w:pPr>
              <w:rPr>
                <w:rFonts w:ascii="Calibri" w:hAnsi="Calibri" w:cs="Calibri"/>
                <w:color w:val="000000"/>
                <w:sz w:val="20"/>
                <w:szCs w:val="20"/>
              </w:rPr>
            </w:pPr>
            <w:r w:rsidRPr="00D504BC">
              <w:rPr>
                <w:rFonts w:ascii="Calibri" w:hAnsi="Calibri" w:cs="Calibri"/>
                <w:color w:val="000000"/>
                <w:sz w:val="20"/>
                <w:szCs w:val="20"/>
              </w:rPr>
              <w:t>Reduce reporting requirements</w:t>
            </w:r>
            <w:r>
              <w:rPr>
                <w:rFonts w:ascii="Calibri" w:hAnsi="Calibri" w:cs="Calibri"/>
                <w:color w:val="000000"/>
                <w:sz w:val="20"/>
                <w:szCs w:val="20"/>
              </w:rPr>
              <w:t xml:space="preserve"> (¶¶54-56)</w:t>
            </w:r>
          </w:p>
        </w:tc>
        <w:tc>
          <w:tcPr>
            <w:tcW w:w="2070" w:type="dxa"/>
            <w:shd w:val="clear" w:color="auto" w:fill="auto"/>
            <w:noWrap/>
            <w:vAlign w:val="bottom"/>
            <w:hideMark/>
          </w:tcPr>
          <w:p w14:paraId="033A32E9" w14:textId="77777777" w:rsidR="00054CDE" w:rsidRPr="00D504BC" w:rsidRDefault="00054CDE" w:rsidP="00FF396B">
            <w:pPr>
              <w:jc w:val="right"/>
              <w:rPr>
                <w:rFonts w:ascii="Calibri" w:hAnsi="Calibri" w:cs="Calibri"/>
                <w:color w:val="000000"/>
                <w:sz w:val="20"/>
                <w:szCs w:val="20"/>
              </w:rPr>
            </w:pPr>
            <w:r w:rsidRPr="00D504BC">
              <w:rPr>
                <w:rFonts w:ascii="Calibri" w:hAnsi="Calibri" w:cs="Calibri"/>
                <w:color w:val="000000"/>
                <w:sz w:val="20"/>
                <w:szCs w:val="20"/>
              </w:rPr>
              <w:t>Unknown</w:t>
            </w:r>
          </w:p>
        </w:tc>
        <w:tc>
          <w:tcPr>
            <w:tcW w:w="2070" w:type="dxa"/>
            <w:shd w:val="clear" w:color="auto" w:fill="auto"/>
            <w:noWrap/>
            <w:vAlign w:val="bottom"/>
            <w:hideMark/>
          </w:tcPr>
          <w:p w14:paraId="6ABFCD4A" w14:textId="77777777" w:rsidR="00054CDE" w:rsidRPr="00D504BC" w:rsidRDefault="00054CDE" w:rsidP="00FF396B">
            <w:pPr>
              <w:jc w:val="right"/>
              <w:rPr>
                <w:rFonts w:ascii="Calibri" w:hAnsi="Calibri" w:cs="Calibri"/>
                <w:color w:val="000000"/>
                <w:sz w:val="20"/>
                <w:szCs w:val="20"/>
              </w:rPr>
            </w:pPr>
            <w:r w:rsidRPr="00D504BC">
              <w:rPr>
                <w:rFonts w:ascii="Calibri" w:hAnsi="Calibri" w:cs="Calibri"/>
                <w:color w:val="000000"/>
                <w:sz w:val="20"/>
                <w:szCs w:val="20"/>
              </w:rPr>
              <w:t>Unknown</w:t>
            </w:r>
          </w:p>
        </w:tc>
        <w:tc>
          <w:tcPr>
            <w:tcW w:w="1150" w:type="dxa"/>
            <w:shd w:val="clear" w:color="auto" w:fill="auto"/>
            <w:noWrap/>
            <w:vAlign w:val="bottom"/>
            <w:hideMark/>
          </w:tcPr>
          <w:p w14:paraId="5B337603" w14:textId="77777777" w:rsidR="00054CDE" w:rsidRPr="00D504BC" w:rsidRDefault="00054CDE" w:rsidP="00FF396B">
            <w:pPr>
              <w:jc w:val="right"/>
              <w:rPr>
                <w:rFonts w:ascii="Calibri" w:hAnsi="Calibri" w:cs="Calibri"/>
                <w:color w:val="000000"/>
                <w:sz w:val="20"/>
                <w:szCs w:val="20"/>
              </w:rPr>
            </w:pPr>
          </w:p>
        </w:tc>
      </w:tr>
      <w:tr w:rsidR="00054CDE" w:rsidRPr="00D504BC" w14:paraId="5ECEC0A9" w14:textId="77777777" w:rsidTr="005B234E">
        <w:trPr>
          <w:trHeight w:val="290"/>
        </w:trPr>
        <w:tc>
          <w:tcPr>
            <w:tcW w:w="4765" w:type="dxa"/>
            <w:shd w:val="clear" w:color="auto" w:fill="auto"/>
            <w:noWrap/>
            <w:vAlign w:val="bottom"/>
            <w:hideMark/>
          </w:tcPr>
          <w:p w14:paraId="0CD5727F" w14:textId="3C81F47A" w:rsidR="00054CDE" w:rsidRPr="00D504BC" w:rsidRDefault="00054CDE" w:rsidP="00FF396B">
            <w:pPr>
              <w:rPr>
                <w:rFonts w:ascii="Calibri" w:hAnsi="Calibri" w:cs="Calibri"/>
                <w:color w:val="000000"/>
                <w:sz w:val="20"/>
                <w:szCs w:val="20"/>
              </w:rPr>
            </w:pPr>
            <w:r w:rsidRPr="00D504BC">
              <w:rPr>
                <w:rFonts w:ascii="Calibri" w:hAnsi="Calibri" w:cs="Calibri"/>
                <w:color w:val="000000"/>
                <w:sz w:val="20"/>
                <w:szCs w:val="20"/>
              </w:rPr>
              <w:t>Adopt 'should resources permit' criterion</w:t>
            </w:r>
            <w:r>
              <w:rPr>
                <w:rFonts w:ascii="Calibri" w:hAnsi="Calibri" w:cs="Calibri"/>
                <w:color w:val="000000"/>
                <w:sz w:val="20"/>
                <w:szCs w:val="20"/>
              </w:rPr>
              <w:t xml:space="preserve"> (¶</w:t>
            </w:r>
            <w:r>
              <w:rPr>
                <w:rFonts w:ascii="Calibri" w:hAnsi="Calibri" w:cs="Calibri"/>
                <w:color w:val="000000"/>
                <w:sz w:val="20"/>
                <w:szCs w:val="20"/>
              </w:rPr>
              <w:fldChar w:fldCharType="begin"/>
            </w:r>
            <w:r>
              <w:rPr>
                <w:rFonts w:ascii="Calibri" w:hAnsi="Calibri" w:cs="Calibri"/>
                <w:color w:val="000000"/>
                <w:sz w:val="20"/>
                <w:szCs w:val="20"/>
              </w:rPr>
              <w:instrText xml:space="preserve"> REF _Ref53990171 \r \h </w:instrText>
            </w:r>
            <w:r>
              <w:rPr>
                <w:rFonts w:ascii="Calibri" w:hAnsi="Calibri" w:cs="Calibri"/>
                <w:color w:val="000000"/>
                <w:sz w:val="20"/>
                <w:szCs w:val="20"/>
              </w:rPr>
            </w:r>
            <w:r>
              <w:rPr>
                <w:rFonts w:ascii="Calibri" w:hAnsi="Calibri" w:cs="Calibri"/>
                <w:color w:val="000000"/>
                <w:sz w:val="20"/>
                <w:szCs w:val="20"/>
              </w:rPr>
              <w:fldChar w:fldCharType="separate"/>
            </w:r>
            <w:r w:rsidR="00A74C32">
              <w:rPr>
                <w:rFonts w:ascii="Calibri" w:hAnsi="Calibri" w:cs="Calibri"/>
                <w:color w:val="000000"/>
                <w:sz w:val="20"/>
                <w:szCs w:val="20"/>
              </w:rPr>
              <w:t>62</w:t>
            </w:r>
            <w:r>
              <w:rPr>
                <w:rFonts w:ascii="Calibri" w:hAnsi="Calibri" w:cs="Calibri"/>
                <w:color w:val="000000"/>
                <w:sz w:val="20"/>
                <w:szCs w:val="20"/>
              </w:rPr>
              <w:fldChar w:fldCharType="end"/>
            </w:r>
            <w:r>
              <w:rPr>
                <w:rFonts w:ascii="Calibri" w:hAnsi="Calibri" w:cs="Calibri"/>
                <w:color w:val="000000"/>
                <w:sz w:val="20"/>
                <w:szCs w:val="20"/>
              </w:rPr>
              <w:t>)</w:t>
            </w:r>
          </w:p>
        </w:tc>
        <w:tc>
          <w:tcPr>
            <w:tcW w:w="2070" w:type="dxa"/>
            <w:shd w:val="clear" w:color="auto" w:fill="auto"/>
            <w:noWrap/>
            <w:vAlign w:val="bottom"/>
            <w:hideMark/>
          </w:tcPr>
          <w:p w14:paraId="739631E6" w14:textId="190A0A63" w:rsidR="00054CDE" w:rsidRPr="00D504BC" w:rsidRDefault="00054CDE" w:rsidP="00FF396B">
            <w:pPr>
              <w:jc w:val="right"/>
              <w:rPr>
                <w:rFonts w:ascii="Calibri" w:hAnsi="Calibri" w:cs="Calibri"/>
                <w:color w:val="000000"/>
                <w:sz w:val="20"/>
                <w:szCs w:val="20"/>
              </w:rPr>
            </w:pPr>
            <w:r>
              <w:rPr>
                <w:rFonts w:ascii="Calibri" w:hAnsi="Calibri" w:cs="Calibri"/>
                <w:color w:val="000000"/>
                <w:sz w:val="20"/>
                <w:szCs w:val="20"/>
              </w:rPr>
              <w:t>$3.4</w:t>
            </w:r>
          </w:p>
        </w:tc>
        <w:tc>
          <w:tcPr>
            <w:tcW w:w="2070" w:type="dxa"/>
            <w:shd w:val="clear" w:color="auto" w:fill="auto"/>
            <w:noWrap/>
            <w:vAlign w:val="bottom"/>
            <w:hideMark/>
          </w:tcPr>
          <w:p w14:paraId="6405347F" w14:textId="49D63484" w:rsidR="00054CDE" w:rsidRPr="00D504BC" w:rsidRDefault="00054CDE" w:rsidP="00FF396B">
            <w:pPr>
              <w:jc w:val="right"/>
              <w:rPr>
                <w:rFonts w:ascii="Calibri" w:hAnsi="Calibri" w:cs="Calibri"/>
                <w:color w:val="000000"/>
                <w:sz w:val="20"/>
                <w:szCs w:val="20"/>
              </w:rPr>
            </w:pPr>
            <w:r>
              <w:rPr>
                <w:rFonts w:ascii="Calibri" w:hAnsi="Calibri" w:cs="Calibri"/>
                <w:color w:val="000000"/>
                <w:sz w:val="20"/>
                <w:szCs w:val="20"/>
              </w:rPr>
              <w:t>$868.40</w:t>
            </w:r>
          </w:p>
        </w:tc>
        <w:tc>
          <w:tcPr>
            <w:tcW w:w="1150" w:type="dxa"/>
            <w:shd w:val="clear" w:color="auto" w:fill="auto"/>
            <w:noWrap/>
            <w:vAlign w:val="bottom"/>
            <w:hideMark/>
          </w:tcPr>
          <w:p w14:paraId="36BBD45D" w14:textId="30936B46" w:rsidR="00054CDE" w:rsidRPr="00D504BC" w:rsidRDefault="00054CDE" w:rsidP="00FF396B">
            <w:pPr>
              <w:jc w:val="right"/>
              <w:rPr>
                <w:rFonts w:ascii="Calibri" w:hAnsi="Calibri" w:cs="Calibri"/>
                <w:color w:val="000000"/>
                <w:sz w:val="20"/>
                <w:szCs w:val="20"/>
              </w:rPr>
            </w:pPr>
            <w:r>
              <w:rPr>
                <w:rFonts w:ascii="Calibri" w:hAnsi="Calibri" w:cs="Calibri"/>
                <w:color w:val="000000"/>
                <w:sz w:val="20"/>
                <w:szCs w:val="20"/>
              </w:rPr>
              <w:t>96.9%</w:t>
            </w:r>
          </w:p>
        </w:tc>
      </w:tr>
      <w:tr w:rsidR="00054CDE" w:rsidRPr="00D504BC" w14:paraId="77797B2F" w14:textId="77777777" w:rsidTr="005B234E">
        <w:trPr>
          <w:trHeight w:val="290"/>
        </w:trPr>
        <w:tc>
          <w:tcPr>
            <w:tcW w:w="4765" w:type="dxa"/>
            <w:shd w:val="clear" w:color="auto" w:fill="auto"/>
            <w:noWrap/>
            <w:vAlign w:val="bottom"/>
            <w:hideMark/>
          </w:tcPr>
          <w:p w14:paraId="3CC1FB2C" w14:textId="5235B6A5" w:rsidR="00054CDE" w:rsidRPr="00D504BC" w:rsidRDefault="00054CDE" w:rsidP="00FF396B">
            <w:pPr>
              <w:rPr>
                <w:rFonts w:ascii="Calibri" w:hAnsi="Calibri" w:cs="Calibri"/>
                <w:b/>
                <w:bCs/>
                <w:color w:val="000000"/>
                <w:sz w:val="20"/>
                <w:szCs w:val="20"/>
              </w:rPr>
            </w:pPr>
            <w:r w:rsidRPr="00D504BC">
              <w:rPr>
                <w:rFonts w:ascii="Calibri" w:hAnsi="Calibri" w:cs="Calibri"/>
                <w:b/>
                <w:bCs/>
                <w:color w:val="000000"/>
                <w:sz w:val="20"/>
                <w:szCs w:val="20"/>
              </w:rPr>
              <w:t xml:space="preserve">Total, regulatory relief – estimated financial </w:t>
            </w:r>
            <w:r w:rsidR="005B234E">
              <w:rPr>
                <w:rFonts w:ascii="Calibri" w:hAnsi="Calibri" w:cs="Calibri"/>
                <w:b/>
                <w:bCs/>
                <w:color w:val="000000"/>
                <w:sz w:val="20"/>
                <w:szCs w:val="20"/>
              </w:rPr>
              <w:t>impact</w:t>
            </w:r>
          </w:p>
        </w:tc>
        <w:tc>
          <w:tcPr>
            <w:tcW w:w="2070" w:type="dxa"/>
            <w:shd w:val="clear" w:color="auto" w:fill="auto"/>
            <w:noWrap/>
            <w:vAlign w:val="bottom"/>
            <w:hideMark/>
          </w:tcPr>
          <w:p w14:paraId="78CD9069" w14:textId="77777777" w:rsidR="00054CDE" w:rsidRPr="00D504BC" w:rsidRDefault="00054CDE" w:rsidP="00FF396B">
            <w:pPr>
              <w:jc w:val="right"/>
              <w:rPr>
                <w:rFonts w:ascii="Calibri" w:hAnsi="Calibri" w:cs="Calibri"/>
                <w:b/>
                <w:bCs/>
                <w:color w:val="000000"/>
                <w:sz w:val="20"/>
                <w:szCs w:val="20"/>
              </w:rPr>
            </w:pPr>
            <w:r w:rsidRPr="00D504BC">
              <w:rPr>
                <w:rFonts w:ascii="Calibri" w:hAnsi="Calibri" w:cs="Calibri"/>
                <w:b/>
                <w:bCs/>
                <w:color w:val="000000"/>
                <w:sz w:val="20"/>
                <w:szCs w:val="20"/>
              </w:rPr>
              <w:t>$865.00</w:t>
            </w:r>
          </w:p>
        </w:tc>
        <w:tc>
          <w:tcPr>
            <w:tcW w:w="2070" w:type="dxa"/>
            <w:shd w:val="clear" w:color="auto" w:fill="auto"/>
            <w:noWrap/>
            <w:vAlign w:val="bottom"/>
            <w:hideMark/>
          </w:tcPr>
          <w:p w14:paraId="012A0CA7" w14:textId="77777777" w:rsidR="00054CDE" w:rsidRPr="00D504BC" w:rsidRDefault="00054CDE" w:rsidP="00FF396B">
            <w:pPr>
              <w:jc w:val="right"/>
              <w:rPr>
                <w:rFonts w:ascii="Calibri" w:hAnsi="Calibri" w:cs="Calibri"/>
                <w:b/>
                <w:bCs/>
                <w:color w:val="000000"/>
                <w:sz w:val="20"/>
                <w:szCs w:val="20"/>
              </w:rPr>
            </w:pPr>
            <w:r w:rsidRPr="00D504BC">
              <w:rPr>
                <w:rFonts w:ascii="Calibri" w:hAnsi="Calibri" w:cs="Calibri"/>
                <w:b/>
                <w:bCs/>
                <w:color w:val="000000"/>
                <w:sz w:val="20"/>
                <w:szCs w:val="20"/>
              </w:rPr>
              <w:t>$865.00</w:t>
            </w:r>
          </w:p>
        </w:tc>
        <w:tc>
          <w:tcPr>
            <w:tcW w:w="1150" w:type="dxa"/>
            <w:shd w:val="clear" w:color="auto" w:fill="auto"/>
            <w:noWrap/>
            <w:vAlign w:val="bottom"/>
            <w:hideMark/>
          </w:tcPr>
          <w:p w14:paraId="45340390" w14:textId="37F4C9D8" w:rsidR="00054CDE" w:rsidRPr="00D504BC" w:rsidRDefault="00054CDE" w:rsidP="00FF396B">
            <w:pPr>
              <w:jc w:val="right"/>
              <w:rPr>
                <w:rFonts w:ascii="Calibri" w:hAnsi="Calibri" w:cs="Calibri"/>
                <w:b/>
                <w:bCs/>
                <w:color w:val="000000"/>
                <w:sz w:val="20"/>
                <w:szCs w:val="20"/>
              </w:rPr>
            </w:pPr>
            <w:r w:rsidRPr="00D504BC">
              <w:rPr>
                <w:rFonts w:ascii="Calibri" w:hAnsi="Calibri" w:cs="Calibri"/>
                <w:b/>
                <w:bCs/>
                <w:color w:val="000000"/>
                <w:sz w:val="20"/>
                <w:szCs w:val="20"/>
              </w:rPr>
              <w:t>96.</w:t>
            </w:r>
            <w:r>
              <w:rPr>
                <w:rFonts w:ascii="Calibri" w:hAnsi="Calibri" w:cs="Calibri"/>
                <w:b/>
                <w:bCs/>
                <w:color w:val="000000"/>
                <w:sz w:val="20"/>
                <w:szCs w:val="20"/>
              </w:rPr>
              <w:t>9</w:t>
            </w:r>
            <w:r w:rsidRPr="00D504BC">
              <w:rPr>
                <w:rFonts w:ascii="Calibri" w:hAnsi="Calibri" w:cs="Calibri"/>
                <w:b/>
                <w:bCs/>
                <w:color w:val="000000"/>
                <w:sz w:val="20"/>
                <w:szCs w:val="20"/>
              </w:rPr>
              <w:t>%</w:t>
            </w:r>
          </w:p>
        </w:tc>
      </w:tr>
      <w:tr w:rsidR="005B234E" w:rsidRPr="00D504BC" w14:paraId="0BCEC6EC" w14:textId="77777777" w:rsidTr="005B234E">
        <w:trPr>
          <w:trHeight w:val="290"/>
        </w:trPr>
        <w:tc>
          <w:tcPr>
            <w:tcW w:w="4765" w:type="dxa"/>
            <w:shd w:val="clear" w:color="auto" w:fill="auto"/>
            <w:noWrap/>
            <w:vAlign w:val="bottom"/>
          </w:tcPr>
          <w:p w14:paraId="7E0895ED" w14:textId="42C5E1DB" w:rsidR="005B234E" w:rsidRPr="00D504BC" w:rsidRDefault="005B234E" w:rsidP="00FF396B">
            <w:pPr>
              <w:rPr>
                <w:rFonts w:ascii="Calibri" w:hAnsi="Calibri" w:cs="Calibri"/>
                <w:b/>
                <w:bCs/>
                <w:color w:val="000000"/>
                <w:sz w:val="20"/>
                <w:szCs w:val="20"/>
              </w:rPr>
            </w:pPr>
            <w:r>
              <w:rPr>
                <w:rFonts w:ascii="Calibri" w:hAnsi="Calibri" w:cs="Calibri"/>
                <w:b/>
                <w:bCs/>
                <w:color w:val="000000"/>
                <w:sz w:val="20"/>
                <w:szCs w:val="20"/>
              </w:rPr>
              <w:t>Total projected loss in 2019/20</w:t>
            </w:r>
          </w:p>
        </w:tc>
        <w:tc>
          <w:tcPr>
            <w:tcW w:w="2070" w:type="dxa"/>
            <w:shd w:val="clear" w:color="auto" w:fill="auto"/>
            <w:noWrap/>
            <w:vAlign w:val="bottom"/>
          </w:tcPr>
          <w:p w14:paraId="2A6C9B56" w14:textId="549F3746" w:rsidR="005B234E" w:rsidRPr="00D504BC" w:rsidRDefault="005B234E" w:rsidP="00FF396B">
            <w:pPr>
              <w:jc w:val="right"/>
              <w:rPr>
                <w:rFonts w:ascii="Calibri" w:hAnsi="Calibri" w:cs="Calibri"/>
                <w:b/>
                <w:bCs/>
                <w:color w:val="000000"/>
                <w:sz w:val="20"/>
                <w:szCs w:val="20"/>
              </w:rPr>
            </w:pPr>
            <w:r>
              <w:rPr>
                <w:rFonts w:ascii="Calibri" w:hAnsi="Calibri" w:cs="Calibri"/>
                <w:b/>
                <w:bCs/>
                <w:color w:val="000000"/>
                <w:sz w:val="20"/>
                <w:szCs w:val="20"/>
              </w:rPr>
              <w:t>$896.30</w:t>
            </w:r>
          </w:p>
        </w:tc>
        <w:tc>
          <w:tcPr>
            <w:tcW w:w="2070" w:type="dxa"/>
            <w:shd w:val="clear" w:color="auto" w:fill="auto"/>
            <w:noWrap/>
            <w:vAlign w:val="bottom"/>
          </w:tcPr>
          <w:p w14:paraId="238FFDFF" w14:textId="77777777" w:rsidR="005B234E" w:rsidRPr="00D504BC" w:rsidRDefault="005B234E" w:rsidP="00FF396B">
            <w:pPr>
              <w:jc w:val="right"/>
              <w:rPr>
                <w:rFonts w:ascii="Calibri" w:hAnsi="Calibri" w:cs="Calibri"/>
                <w:b/>
                <w:bCs/>
                <w:color w:val="000000"/>
                <w:sz w:val="20"/>
                <w:szCs w:val="20"/>
              </w:rPr>
            </w:pPr>
          </w:p>
        </w:tc>
        <w:tc>
          <w:tcPr>
            <w:tcW w:w="1150" w:type="dxa"/>
            <w:shd w:val="clear" w:color="auto" w:fill="auto"/>
            <w:noWrap/>
            <w:vAlign w:val="bottom"/>
          </w:tcPr>
          <w:p w14:paraId="660FEB9D" w14:textId="77777777" w:rsidR="005B234E" w:rsidRPr="00D504BC" w:rsidRDefault="005B234E" w:rsidP="00FF396B">
            <w:pPr>
              <w:jc w:val="right"/>
              <w:rPr>
                <w:rFonts w:ascii="Calibri" w:hAnsi="Calibri" w:cs="Calibri"/>
                <w:b/>
                <w:bCs/>
                <w:color w:val="000000"/>
                <w:sz w:val="20"/>
                <w:szCs w:val="20"/>
              </w:rPr>
            </w:pPr>
          </w:p>
        </w:tc>
      </w:tr>
    </w:tbl>
    <w:p w14:paraId="230555C7" w14:textId="77777777" w:rsidR="00054CDE" w:rsidRDefault="00054CDE" w:rsidP="00DB0A22">
      <w:pPr>
        <w:pStyle w:val="FRPCintPara"/>
        <w:numPr>
          <w:ilvl w:val="0"/>
          <w:numId w:val="0"/>
        </w:numPr>
      </w:pPr>
    </w:p>
    <w:p w14:paraId="66530B50" w14:textId="3130E0EC" w:rsidR="00054CDE" w:rsidRDefault="00054CDE" w:rsidP="002B134F">
      <w:pPr>
        <w:pStyle w:val="FRPCintPara"/>
      </w:pPr>
      <w:r>
        <w:t xml:space="preserve">The Forum therefore recommends that the CRTC adopt a plan to address the impact of the pandemic on Canada’s broadcasting system, to reduce uncertainty for broadcasters and Canadians alike.  </w:t>
      </w:r>
      <w:r w:rsidR="00EB5F9C">
        <w:t>Before proceeding to develop that plan, however, the Forum respectfully submits that the CAB be asked for clarifications regarding the financial</w:t>
      </w:r>
      <w:r w:rsidR="00C368B3">
        <w:t xml:space="preserve">, </w:t>
      </w:r>
      <w:r w:rsidR="00EB5F9C">
        <w:t>employment</w:t>
      </w:r>
      <w:r w:rsidR="00C368B3">
        <w:t xml:space="preserve"> and programming</w:t>
      </w:r>
      <w:r w:rsidR="00EB5F9C">
        <w:t xml:space="preserve"> impacts of its application.  </w:t>
      </w:r>
      <w:r>
        <w:t>While this proceeding is limited to consideration of the CAB’s application, any plan devised by the Commission to address the challenges facing Canadian broadcasters should encompass non-CAB members as well as the Canadian Broadcasting Corporation (CBC).</w:t>
      </w:r>
      <w:r>
        <w:rPr>
          <w:rStyle w:val="EndnoteReference"/>
        </w:rPr>
        <w:endnoteReference w:id="71"/>
      </w:r>
    </w:p>
    <w:p w14:paraId="1299A635" w14:textId="77CA8BDA" w:rsidR="00054CDE" w:rsidRPr="00EF4358" w:rsidRDefault="00054CDE" w:rsidP="002B134F">
      <w:pPr>
        <w:pStyle w:val="FRPCintPara"/>
      </w:pPr>
      <w:r w:rsidRPr="00EF4358">
        <w:t xml:space="preserve">The change in the relationship between GDP and private conventional television stations’ revenues strongly suggests that while the pandemic is affecting these stations, other factors are also affecting their financial position, especially the unlimited operation of foreign online television services.  These services are free to compete with Canadian television services for audiences because the CRTC cannot regulate them.  The CRTC cannot regulate foreign online television services because the </w:t>
      </w:r>
      <w:r w:rsidRPr="00C368B3">
        <w:rPr>
          <w:i/>
          <w:iCs/>
        </w:rPr>
        <w:t>Broadcasting Act</w:t>
      </w:r>
      <w:r w:rsidRPr="00EF4358">
        <w:t xml:space="preserve"> limits its authority to </w:t>
      </w:r>
      <w:r w:rsidRPr="00C368B3">
        <w:rPr>
          <w:u w:val="single"/>
        </w:rPr>
        <w:t>licensable</w:t>
      </w:r>
      <w:r w:rsidRPr="00EF4358">
        <w:t xml:space="preserve"> broadcasting services and the </w:t>
      </w:r>
      <w:r w:rsidR="00C368B3">
        <w:t xml:space="preserve">current, </w:t>
      </w:r>
      <w:r w:rsidRPr="00EF4358">
        <w:t xml:space="preserve">1997 </w:t>
      </w:r>
      <w:r w:rsidRPr="00C368B3">
        <w:rPr>
          <w:i/>
          <w:iCs/>
        </w:rPr>
        <w:t>Direction</w:t>
      </w:r>
      <w:r w:rsidRPr="00EF4358">
        <w:t xml:space="preserve"> by Cabinet prohibits the CRTC from licensing foreign services.</w:t>
      </w:r>
      <w:r w:rsidR="00C368B3">
        <w:t xml:space="preserve"> (</w:t>
      </w:r>
      <w:r w:rsidR="006A6FDE">
        <w:t>Practically speaking the CRTC can only a</w:t>
      </w:r>
      <w:r w:rsidR="00C368B3">
        <w:t>ddress the role of online foreign programming services</w:t>
      </w:r>
      <w:r w:rsidR="006A6FDE">
        <w:t xml:space="preserve"> i</w:t>
      </w:r>
      <w:r w:rsidR="00C368B3">
        <w:t xml:space="preserve">f Cabinet changes the </w:t>
      </w:r>
      <w:r w:rsidR="00C368B3">
        <w:rPr>
          <w:i/>
          <w:iCs/>
        </w:rPr>
        <w:t>Direction</w:t>
      </w:r>
      <w:r w:rsidR="006A6FDE">
        <w:rPr>
          <w:i/>
          <w:iCs/>
        </w:rPr>
        <w:t xml:space="preserve"> </w:t>
      </w:r>
      <w:r w:rsidR="006A6FDE">
        <w:t>to enable the CRTC to authorize the operation of foreign programming services in Canada</w:t>
      </w:r>
      <w:r w:rsidR="00C368B3">
        <w:t>.)</w:t>
      </w:r>
    </w:p>
    <w:p w14:paraId="2B89FB6C" w14:textId="0E3E800B" w:rsidR="00054CDE" w:rsidRPr="00EF4358" w:rsidRDefault="00054CDE" w:rsidP="002B134F">
      <w:pPr>
        <w:pStyle w:val="FRPCintPara"/>
      </w:pPr>
      <w:r w:rsidRPr="00EF4358">
        <w:t xml:space="preserve">An important consequence of this legal catch-22 is that granting the CAB’s application may provide little or no benefit to Canada’s private television broadcasters:  </w:t>
      </w:r>
      <w:r w:rsidR="006A6FDE">
        <w:t xml:space="preserve">as indicated by </w:t>
      </w:r>
      <w:r w:rsidR="006A6FDE">
        <w:fldChar w:fldCharType="begin"/>
      </w:r>
      <w:r w:rsidR="006A6FDE">
        <w:instrText xml:space="preserve"> REF _Ref53985517 \h </w:instrText>
      </w:r>
      <w:r w:rsidR="006A6FDE">
        <w:fldChar w:fldCharType="separate"/>
      </w:r>
      <w:r w:rsidR="00A74C32">
        <w:t xml:space="preserve">Appendix </w:t>
      </w:r>
      <w:r w:rsidR="00A74C32">
        <w:rPr>
          <w:noProof/>
        </w:rPr>
        <w:t>2</w:t>
      </w:r>
      <w:r w:rsidR="006A6FDE">
        <w:fldChar w:fldCharType="end"/>
      </w:r>
      <w:r w:rsidR="006A6FDE">
        <w:t xml:space="preserve">, </w:t>
      </w:r>
      <w:r w:rsidRPr="00EF4358">
        <w:t xml:space="preserve">private television revenues are likely going to continue to decline, </w:t>
      </w:r>
      <w:r w:rsidR="00EB5F9C">
        <w:t>however</w:t>
      </w:r>
      <w:r w:rsidRPr="00EF4358">
        <w:t xml:space="preserve"> the </w:t>
      </w:r>
      <w:r w:rsidR="00EB5F9C">
        <w:t>CRTC responds to this application.</w:t>
      </w:r>
      <w:r w:rsidRPr="00EF4358">
        <w:t xml:space="preserve"> That said, millions of Canadian households rely on radio and television broadcasters for local news:  the Forum</w:t>
      </w:r>
      <w:r>
        <w:t xml:space="preserve"> agrees that </w:t>
      </w:r>
      <w:r w:rsidRPr="00EF4358">
        <w:t>the CRTC must ensure the continued availability of this important programming.</w:t>
      </w:r>
      <w:r>
        <w:t xml:space="preserve">  Th</w:t>
      </w:r>
      <w:r w:rsidR="00EB5F9C">
        <w:t xml:space="preserve">e </w:t>
      </w:r>
      <w:r>
        <w:t>Forum is</w:t>
      </w:r>
      <w:r w:rsidR="00EB5F9C">
        <w:t xml:space="preserve">, however, </w:t>
      </w:r>
      <w:r>
        <w:t>troubled by the CAB’s overgeneralized approach to regulatory support</w:t>
      </w:r>
      <w:r w:rsidR="00EB5F9C">
        <w:t xml:space="preserve"> and</w:t>
      </w:r>
      <w:r w:rsidR="00CF0C85">
        <w:t xml:space="preserve"> has</w:t>
      </w:r>
      <w:r w:rsidR="00EB5F9C">
        <w:t xml:space="preserve"> therefore set out several</w:t>
      </w:r>
      <w:r>
        <w:t xml:space="preserve"> recommendations below to address</w:t>
      </w:r>
      <w:r w:rsidR="00EB5F9C">
        <w:t xml:space="preserve"> our</w:t>
      </w:r>
      <w:r>
        <w:t xml:space="preserve"> concerns.</w:t>
      </w:r>
    </w:p>
    <w:p w14:paraId="553F1395" w14:textId="48B4AC72" w:rsidR="00054CDE" w:rsidRDefault="00054CDE" w:rsidP="00DE3112">
      <w:pPr>
        <w:pStyle w:val="Heading3"/>
        <w:rPr>
          <w:rFonts w:ascii="Calibri" w:hAnsi="Calibri" w:cs="Calibri"/>
        </w:rPr>
      </w:pPr>
      <w:bookmarkStart w:id="37" w:name="_Toc54021171"/>
      <w:r>
        <w:rPr>
          <w:rFonts w:ascii="Calibri" w:hAnsi="Calibri" w:cs="Calibri"/>
        </w:rPr>
        <w:lastRenderedPageBreak/>
        <w:t>The CRTC should focus on small private broadcasters</w:t>
      </w:r>
      <w:bookmarkEnd w:id="37"/>
      <w:r>
        <w:rPr>
          <w:rFonts w:ascii="Calibri" w:hAnsi="Calibri" w:cs="Calibri"/>
        </w:rPr>
        <w:t xml:space="preserve"> </w:t>
      </w:r>
    </w:p>
    <w:p w14:paraId="6FDF1A96" w14:textId="5BC9D061" w:rsidR="00054CDE" w:rsidRDefault="00054CDE" w:rsidP="002B134F">
      <w:pPr>
        <w:pStyle w:val="FRPCintPara"/>
      </w:pPr>
      <w:r>
        <w:t xml:space="preserve">The CRTC has granted so many applications to transfer broadcasting licences – on the theory that larger ownership groups would save small stations – that Canada’s broadcasting system is among the most highly </w:t>
      </w:r>
      <w:r w:rsidR="00CF0C85">
        <w:t>concentrated</w:t>
      </w:r>
      <w:r>
        <w:t xml:space="preserve"> in the world.  More to the point, five ownership groups in radio and television each control </w:t>
      </w:r>
      <w:r w:rsidR="00886F70">
        <w:t xml:space="preserve">two thirds or more </w:t>
      </w:r>
      <w:r>
        <w:t>of the revenues in those sectors – 91% in the case of television, 65% in the case of radio</w:t>
      </w:r>
      <w:r w:rsidR="003553EE">
        <w:t xml:space="preserve"> and 79% in the case of discretionary television services</w:t>
      </w:r>
      <w:r w:rsidR="006C4ED0">
        <w:t xml:space="preserve">:  </w:t>
      </w:r>
      <w:r w:rsidR="006C4ED0">
        <w:fldChar w:fldCharType="begin"/>
      </w:r>
      <w:r w:rsidR="006C4ED0">
        <w:instrText xml:space="preserve"> REF _Ref54006184 \h </w:instrText>
      </w:r>
      <w:r w:rsidR="006C4ED0">
        <w:fldChar w:fldCharType="separate"/>
      </w:r>
      <w:r w:rsidR="00A74C32">
        <w:t xml:space="preserve">Table </w:t>
      </w:r>
      <w:r w:rsidR="00A74C32">
        <w:rPr>
          <w:noProof/>
        </w:rPr>
        <w:t>5</w:t>
      </w:r>
      <w:r w:rsidR="006C4ED0">
        <w:fldChar w:fldCharType="end"/>
      </w:r>
      <w:r>
        <w:t>. Dozens of other broadcasters share in the revenues that remain.</w:t>
      </w:r>
    </w:p>
    <w:p w14:paraId="4CF0B110" w14:textId="467DAAB0" w:rsidR="003553EE" w:rsidRDefault="003553EE" w:rsidP="003553EE">
      <w:pPr>
        <w:pStyle w:val="Caption"/>
        <w:keepNext/>
      </w:pPr>
      <w:bookmarkStart w:id="38" w:name="_Ref54006184"/>
      <w:bookmarkStart w:id="39" w:name="_Toc54017098"/>
      <w:r>
        <w:t xml:space="preserve">Table </w:t>
      </w:r>
      <w:fldSimple w:instr=" SEQ Table \* ARABIC ">
        <w:r w:rsidR="00A74C32">
          <w:rPr>
            <w:noProof/>
          </w:rPr>
          <w:t>5</w:t>
        </w:r>
      </w:fldSimple>
      <w:bookmarkEnd w:id="38"/>
      <w:r>
        <w:tab/>
        <w:t>Share of</w:t>
      </w:r>
      <w:r w:rsidR="00886F70">
        <w:t xml:space="preserve"> 2018</w:t>
      </w:r>
      <w:r>
        <w:t xml:space="preserve"> revenues of five largest ownership groups, by </w:t>
      </w:r>
      <w:r w:rsidR="00886F70">
        <w:t>sub</w:t>
      </w:r>
      <w:r>
        <w:t>sector</w:t>
      </w:r>
      <w:bookmarkEnd w:id="39"/>
    </w:p>
    <w:tbl>
      <w:tblPr>
        <w:tblStyle w:val="TableGrid"/>
        <w:tblW w:w="0" w:type="auto"/>
        <w:tblLook w:val="04A0" w:firstRow="1" w:lastRow="0" w:firstColumn="1" w:lastColumn="0" w:noHBand="0" w:noVBand="1"/>
      </w:tblPr>
      <w:tblGrid>
        <w:gridCol w:w="1620"/>
        <w:gridCol w:w="2065"/>
        <w:gridCol w:w="2880"/>
        <w:gridCol w:w="1855"/>
      </w:tblGrid>
      <w:tr w:rsidR="003553EE" w:rsidRPr="003553EE" w14:paraId="3BDA55ED" w14:textId="77777777" w:rsidTr="003553EE">
        <w:trPr>
          <w:trHeight w:val="290"/>
        </w:trPr>
        <w:tc>
          <w:tcPr>
            <w:tcW w:w="1620" w:type="dxa"/>
            <w:noWrap/>
            <w:hideMark/>
          </w:tcPr>
          <w:p w14:paraId="07C5BD71" w14:textId="529B18FE" w:rsidR="003553EE" w:rsidRPr="003553EE" w:rsidRDefault="003553EE" w:rsidP="003553EE">
            <w:pPr>
              <w:pStyle w:val="Table"/>
              <w:rPr>
                <w:b/>
                <w:bCs/>
              </w:rPr>
            </w:pPr>
            <w:r w:rsidRPr="003553EE">
              <w:rPr>
                <w:b/>
                <w:bCs/>
              </w:rPr>
              <w:t xml:space="preserve">Sector </w:t>
            </w:r>
          </w:p>
        </w:tc>
        <w:tc>
          <w:tcPr>
            <w:tcW w:w="2065" w:type="dxa"/>
            <w:noWrap/>
            <w:hideMark/>
          </w:tcPr>
          <w:p w14:paraId="16908410" w14:textId="49D7FBC5" w:rsidR="003553EE" w:rsidRPr="003553EE" w:rsidRDefault="003553EE" w:rsidP="00886F70">
            <w:pPr>
              <w:pStyle w:val="Table"/>
              <w:jc w:val="center"/>
              <w:rPr>
                <w:b/>
                <w:bCs/>
              </w:rPr>
            </w:pPr>
            <w:r w:rsidRPr="003553EE">
              <w:rPr>
                <w:b/>
                <w:bCs/>
              </w:rPr>
              <w:t>Revenue</w:t>
            </w:r>
          </w:p>
          <w:p w14:paraId="48014CCD" w14:textId="736F7961" w:rsidR="003553EE" w:rsidRPr="003553EE" w:rsidRDefault="003553EE" w:rsidP="00886F70">
            <w:pPr>
              <w:pStyle w:val="Table"/>
              <w:jc w:val="center"/>
              <w:rPr>
                <w:b/>
                <w:bCs/>
              </w:rPr>
            </w:pPr>
            <w:r w:rsidRPr="003553EE">
              <w:rPr>
                <w:b/>
                <w:bCs/>
              </w:rPr>
              <w:t>($ billions)</w:t>
            </w:r>
          </w:p>
        </w:tc>
        <w:tc>
          <w:tcPr>
            <w:tcW w:w="2880" w:type="dxa"/>
            <w:noWrap/>
            <w:hideMark/>
          </w:tcPr>
          <w:p w14:paraId="74EC2983" w14:textId="599D7072" w:rsidR="003553EE" w:rsidRPr="003553EE" w:rsidRDefault="003553EE" w:rsidP="00886F70">
            <w:pPr>
              <w:pStyle w:val="Table"/>
              <w:jc w:val="center"/>
              <w:rPr>
                <w:b/>
                <w:bCs/>
              </w:rPr>
            </w:pPr>
            <w:r w:rsidRPr="003553EE">
              <w:rPr>
                <w:b/>
                <w:bCs/>
              </w:rPr>
              <w:t>5 largest ownership groups ($ billions)</w:t>
            </w:r>
          </w:p>
        </w:tc>
        <w:tc>
          <w:tcPr>
            <w:tcW w:w="1855" w:type="dxa"/>
            <w:noWrap/>
            <w:hideMark/>
          </w:tcPr>
          <w:p w14:paraId="0D8B80D6" w14:textId="030D8D20" w:rsidR="003553EE" w:rsidRPr="003553EE" w:rsidRDefault="00886F70" w:rsidP="00886F70">
            <w:pPr>
              <w:pStyle w:val="Table"/>
              <w:jc w:val="center"/>
              <w:rPr>
                <w:b/>
                <w:bCs/>
              </w:rPr>
            </w:pPr>
            <w:r>
              <w:rPr>
                <w:b/>
                <w:bCs/>
              </w:rPr>
              <w:t xml:space="preserve">Top 5 - </w:t>
            </w:r>
            <w:r w:rsidR="003553EE" w:rsidRPr="003553EE">
              <w:rPr>
                <w:b/>
                <w:bCs/>
              </w:rPr>
              <w:t xml:space="preserve">% </w:t>
            </w:r>
            <w:r>
              <w:rPr>
                <w:b/>
                <w:bCs/>
              </w:rPr>
              <w:t>of total revenue</w:t>
            </w:r>
          </w:p>
        </w:tc>
      </w:tr>
      <w:tr w:rsidR="003553EE" w:rsidRPr="003553EE" w14:paraId="298CAD29" w14:textId="77777777" w:rsidTr="003553EE">
        <w:trPr>
          <w:trHeight w:val="290"/>
        </w:trPr>
        <w:tc>
          <w:tcPr>
            <w:tcW w:w="1620" w:type="dxa"/>
            <w:noWrap/>
            <w:hideMark/>
          </w:tcPr>
          <w:p w14:paraId="421F4A2D" w14:textId="77777777" w:rsidR="003553EE" w:rsidRPr="003553EE" w:rsidRDefault="003553EE" w:rsidP="003553EE">
            <w:pPr>
              <w:pStyle w:val="Table"/>
            </w:pPr>
            <w:r w:rsidRPr="003553EE">
              <w:t>Radio</w:t>
            </w:r>
          </w:p>
        </w:tc>
        <w:tc>
          <w:tcPr>
            <w:tcW w:w="2065" w:type="dxa"/>
            <w:noWrap/>
            <w:hideMark/>
          </w:tcPr>
          <w:p w14:paraId="456D7B76" w14:textId="33270C03" w:rsidR="003553EE" w:rsidRPr="003553EE" w:rsidRDefault="003553EE" w:rsidP="003553EE">
            <w:pPr>
              <w:pStyle w:val="Table"/>
              <w:jc w:val="center"/>
            </w:pPr>
            <w:r>
              <w:t>$</w:t>
            </w:r>
            <w:r w:rsidRPr="003553EE">
              <w:t>1.5</w:t>
            </w:r>
          </w:p>
        </w:tc>
        <w:tc>
          <w:tcPr>
            <w:tcW w:w="2880" w:type="dxa"/>
            <w:noWrap/>
            <w:hideMark/>
          </w:tcPr>
          <w:p w14:paraId="142632EA" w14:textId="7C0492F9" w:rsidR="003553EE" w:rsidRPr="003553EE" w:rsidRDefault="003553EE" w:rsidP="003553EE">
            <w:pPr>
              <w:pStyle w:val="Table"/>
              <w:jc w:val="center"/>
            </w:pPr>
            <w:r>
              <w:t>$</w:t>
            </w:r>
            <w:r w:rsidRPr="003553EE">
              <w:t>0.975</w:t>
            </w:r>
          </w:p>
        </w:tc>
        <w:tc>
          <w:tcPr>
            <w:tcW w:w="1855" w:type="dxa"/>
            <w:noWrap/>
            <w:hideMark/>
          </w:tcPr>
          <w:p w14:paraId="666771FC" w14:textId="77777777" w:rsidR="003553EE" w:rsidRPr="003553EE" w:rsidRDefault="003553EE" w:rsidP="003553EE">
            <w:pPr>
              <w:pStyle w:val="Table"/>
              <w:jc w:val="center"/>
            </w:pPr>
            <w:r w:rsidRPr="003553EE">
              <w:t>65%</w:t>
            </w:r>
          </w:p>
        </w:tc>
      </w:tr>
      <w:tr w:rsidR="003553EE" w:rsidRPr="003553EE" w14:paraId="7DAD7D44" w14:textId="77777777" w:rsidTr="003553EE">
        <w:trPr>
          <w:trHeight w:val="290"/>
        </w:trPr>
        <w:tc>
          <w:tcPr>
            <w:tcW w:w="1620" w:type="dxa"/>
            <w:noWrap/>
            <w:hideMark/>
          </w:tcPr>
          <w:p w14:paraId="386EE1A1" w14:textId="77777777" w:rsidR="003553EE" w:rsidRPr="003553EE" w:rsidRDefault="003553EE" w:rsidP="003553EE">
            <w:pPr>
              <w:pStyle w:val="Table"/>
            </w:pPr>
            <w:r w:rsidRPr="003553EE">
              <w:t>TV</w:t>
            </w:r>
          </w:p>
        </w:tc>
        <w:tc>
          <w:tcPr>
            <w:tcW w:w="2065" w:type="dxa"/>
            <w:noWrap/>
            <w:hideMark/>
          </w:tcPr>
          <w:p w14:paraId="10D2B2AF" w14:textId="77777777" w:rsidR="003553EE" w:rsidRPr="003553EE" w:rsidRDefault="003553EE" w:rsidP="003553EE">
            <w:pPr>
              <w:pStyle w:val="Table"/>
              <w:jc w:val="center"/>
            </w:pPr>
            <w:r w:rsidRPr="003553EE">
              <w:t>1.5</w:t>
            </w:r>
          </w:p>
        </w:tc>
        <w:tc>
          <w:tcPr>
            <w:tcW w:w="2880" w:type="dxa"/>
            <w:noWrap/>
            <w:hideMark/>
          </w:tcPr>
          <w:p w14:paraId="7E1DAB34" w14:textId="77777777" w:rsidR="003553EE" w:rsidRPr="003553EE" w:rsidRDefault="003553EE" w:rsidP="003553EE">
            <w:pPr>
              <w:pStyle w:val="Table"/>
              <w:jc w:val="center"/>
            </w:pPr>
            <w:r w:rsidRPr="003553EE">
              <w:t>1.365</w:t>
            </w:r>
          </w:p>
        </w:tc>
        <w:tc>
          <w:tcPr>
            <w:tcW w:w="1855" w:type="dxa"/>
            <w:noWrap/>
            <w:hideMark/>
          </w:tcPr>
          <w:p w14:paraId="074503BF" w14:textId="77777777" w:rsidR="003553EE" w:rsidRPr="003553EE" w:rsidRDefault="003553EE" w:rsidP="003553EE">
            <w:pPr>
              <w:pStyle w:val="Table"/>
              <w:jc w:val="center"/>
            </w:pPr>
            <w:r w:rsidRPr="003553EE">
              <w:t>91%</w:t>
            </w:r>
          </w:p>
        </w:tc>
      </w:tr>
      <w:tr w:rsidR="003553EE" w:rsidRPr="003553EE" w14:paraId="47F34C51" w14:textId="77777777" w:rsidTr="003553EE">
        <w:trPr>
          <w:trHeight w:val="290"/>
        </w:trPr>
        <w:tc>
          <w:tcPr>
            <w:tcW w:w="1620" w:type="dxa"/>
            <w:noWrap/>
            <w:hideMark/>
          </w:tcPr>
          <w:p w14:paraId="39974587" w14:textId="77777777" w:rsidR="003553EE" w:rsidRPr="003553EE" w:rsidRDefault="003553EE" w:rsidP="003553EE">
            <w:pPr>
              <w:pStyle w:val="Table"/>
            </w:pPr>
            <w:r w:rsidRPr="003553EE">
              <w:t>Discretionary</w:t>
            </w:r>
          </w:p>
        </w:tc>
        <w:tc>
          <w:tcPr>
            <w:tcW w:w="2065" w:type="dxa"/>
            <w:noWrap/>
            <w:hideMark/>
          </w:tcPr>
          <w:p w14:paraId="7B530E34" w14:textId="4CE6636A" w:rsidR="003553EE" w:rsidRPr="003553EE" w:rsidRDefault="003553EE" w:rsidP="003553EE">
            <w:pPr>
              <w:pStyle w:val="Table"/>
              <w:jc w:val="center"/>
            </w:pPr>
            <w:r w:rsidRPr="003553EE">
              <w:t>4.</w:t>
            </w:r>
            <w:r>
              <w:t>2</w:t>
            </w:r>
          </w:p>
        </w:tc>
        <w:tc>
          <w:tcPr>
            <w:tcW w:w="2880" w:type="dxa"/>
            <w:noWrap/>
            <w:hideMark/>
          </w:tcPr>
          <w:p w14:paraId="3C54D807" w14:textId="77777777" w:rsidR="003553EE" w:rsidRPr="003553EE" w:rsidRDefault="003553EE" w:rsidP="003553EE">
            <w:pPr>
              <w:pStyle w:val="Table"/>
              <w:jc w:val="center"/>
            </w:pPr>
            <w:r w:rsidRPr="003553EE">
              <w:t>3.342</w:t>
            </w:r>
          </w:p>
        </w:tc>
        <w:tc>
          <w:tcPr>
            <w:tcW w:w="1855" w:type="dxa"/>
            <w:noWrap/>
            <w:hideMark/>
          </w:tcPr>
          <w:p w14:paraId="284DB3B1" w14:textId="77777777" w:rsidR="003553EE" w:rsidRPr="003553EE" w:rsidRDefault="003553EE" w:rsidP="003553EE">
            <w:pPr>
              <w:pStyle w:val="Table"/>
              <w:jc w:val="center"/>
            </w:pPr>
            <w:r w:rsidRPr="003553EE">
              <w:t>79%</w:t>
            </w:r>
          </w:p>
        </w:tc>
      </w:tr>
      <w:tr w:rsidR="003553EE" w:rsidRPr="003553EE" w14:paraId="0F9C39F6" w14:textId="77777777" w:rsidTr="006024C4">
        <w:trPr>
          <w:trHeight w:val="290"/>
        </w:trPr>
        <w:tc>
          <w:tcPr>
            <w:tcW w:w="8420" w:type="dxa"/>
            <w:gridSpan w:val="4"/>
            <w:noWrap/>
          </w:tcPr>
          <w:p w14:paraId="3A2DF1A6" w14:textId="28AC522A" w:rsidR="003553EE" w:rsidRPr="003553EE" w:rsidRDefault="003553EE" w:rsidP="003553EE">
            <w:pPr>
              <w:pStyle w:val="Table"/>
            </w:pPr>
            <w:r>
              <w:t xml:space="preserve">Source:  2019 </w:t>
            </w:r>
            <w:r>
              <w:rPr>
                <w:i/>
                <w:iCs/>
              </w:rPr>
              <w:t>Communications Monitoring Report</w:t>
            </w:r>
          </w:p>
        </w:tc>
      </w:tr>
    </w:tbl>
    <w:p w14:paraId="2C4B44EB" w14:textId="77777777" w:rsidR="00054CDE" w:rsidRPr="00354064" w:rsidRDefault="00054CDE" w:rsidP="00EB5F9C">
      <w:pPr>
        <w:pStyle w:val="Table"/>
      </w:pPr>
    </w:p>
    <w:p w14:paraId="2A202178" w14:textId="6AC031B6" w:rsidR="00054CDE" w:rsidRDefault="00054CDE" w:rsidP="002B134F">
      <w:pPr>
        <w:pStyle w:val="FRPCintPara"/>
      </w:pPr>
      <w:r>
        <w:t>In 2016, however, the CRTC acknowledged that concentrated media ownership was supposed to ensure the availability of local news:</w:t>
      </w:r>
    </w:p>
    <w:p w14:paraId="2DB0C386" w14:textId="692AF7CA" w:rsidR="00054CDE" w:rsidRDefault="00054CDE" w:rsidP="002B134F">
      <w:pPr>
        <w:pStyle w:val="FRPCquote"/>
      </w:pPr>
      <w:r>
        <w:t xml:space="preserve">63.  … </w:t>
      </w:r>
      <w:r w:rsidRPr="000545BB">
        <w:t xml:space="preserve"> the Commission noted that when it approved transactions that led to increased consolidation within the broadcasting industry, it was to create entities with the critical mass to ensure the production and promotion of diverse, high-quality Canadian programming and its distribution through conventional and digital media.</w:t>
      </w:r>
      <w:r>
        <w:rPr>
          <w:rStyle w:val="EndnoteReference"/>
          <w:b/>
          <w:bCs/>
        </w:rPr>
        <w:endnoteReference w:id="72"/>
      </w:r>
    </w:p>
    <w:p w14:paraId="58B919A1" w14:textId="3070F4D3" w:rsidR="00054CDE" w:rsidRPr="000545BB" w:rsidRDefault="00054CDE" w:rsidP="002B134F">
      <w:pPr>
        <w:pStyle w:val="FRPCquote"/>
      </w:pPr>
      <w:r w:rsidRPr="008D4CA7">
        <w:t xml:space="preserve">… </w:t>
      </w:r>
    </w:p>
    <w:p w14:paraId="590879F8" w14:textId="7024CC8F" w:rsidR="000576B2" w:rsidRDefault="00054CDE" w:rsidP="002B134F">
      <w:pPr>
        <w:pStyle w:val="FRPCintPara"/>
      </w:pPr>
      <w:r>
        <w:t>The</w:t>
      </w:r>
      <w:r w:rsidRPr="00E86FC6">
        <w:t xml:space="preserve"> CAB argues in part that “[e]</w:t>
      </w:r>
      <w:proofErr w:type="spellStart"/>
      <w:r w:rsidRPr="00E86FC6">
        <w:t>veryone</w:t>
      </w:r>
      <w:proofErr w:type="spellEnd"/>
      <w:r w:rsidRPr="00E86FC6">
        <w:t xml:space="preserve"> must operate (or note) based on a new set of economic realities”</w:t>
      </w:r>
      <w:r>
        <w:t>,</w:t>
      </w:r>
      <w:r w:rsidRPr="00E86FC6">
        <w:rPr>
          <w:vertAlign w:val="superscript"/>
        </w:rPr>
        <w:t xml:space="preserve"> </w:t>
      </w:r>
      <w:r w:rsidRPr="00E86FC6">
        <w:rPr>
          <w:vertAlign w:val="superscript"/>
        </w:rPr>
        <w:endnoteReference w:id="73"/>
      </w:r>
      <w:r>
        <w:rPr>
          <w:vertAlign w:val="superscript"/>
        </w:rPr>
        <w:t xml:space="preserve"> </w:t>
      </w:r>
      <w:r w:rsidR="00E86FC6">
        <w:t>implying that all broadcasters should be treated in the same way.  Yet the C</w:t>
      </w:r>
      <w:r w:rsidR="00FD1F3F">
        <w:t xml:space="preserve">AB has not explained why Canada’s largest broadcasters should receive the same regulatory support as its smallest broadcasters. </w:t>
      </w:r>
      <w:r w:rsidR="00E86FC6">
        <w:t xml:space="preserve"> The Forum notes first, that </w:t>
      </w:r>
      <w:r w:rsidR="000576B2">
        <w:t>support should be granted to broadcasters that need it most – and that have no other sources of income to support their programming services.</w:t>
      </w:r>
      <w:r w:rsidR="00E86FC6">
        <w:t xml:space="preserve">  To treat all broadcasters equally, regardless of their means, is to negate Parliament’s language in subsection 9(1)(b) of the </w:t>
      </w:r>
      <w:r w:rsidR="00E86FC6" w:rsidRPr="0088048C">
        <w:rPr>
          <w:i/>
          <w:iCs/>
        </w:rPr>
        <w:t>Broadcasting Act</w:t>
      </w:r>
      <w:r w:rsidR="00E86FC6">
        <w:t xml:space="preserve"> (which requires the CRTC to set conditions based on the </w:t>
      </w:r>
      <w:r w:rsidR="00352A14">
        <w:rPr>
          <w:u w:val="single"/>
        </w:rPr>
        <w:t>‘</w:t>
      </w:r>
      <w:r w:rsidR="00E86FC6" w:rsidRPr="00352A14">
        <w:rPr>
          <w:u w:val="single"/>
        </w:rPr>
        <w:t>circumstances</w:t>
      </w:r>
      <w:r w:rsidR="00352A14">
        <w:t xml:space="preserve">’ – a broad concept – </w:t>
      </w:r>
      <w:r w:rsidR="00E86FC6">
        <w:t>of individual licensees).</w:t>
      </w:r>
    </w:p>
    <w:p w14:paraId="0807E95A" w14:textId="34C7F417" w:rsidR="001D0AAD" w:rsidRDefault="000576B2" w:rsidP="002B134F">
      <w:pPr>
        <w:pStyle w:val="FRPCintPara"/>
      </w:pPr>
      <w:r>
        <w:t>Second, t</w:t>
      </w:r>
      <w:r w:rsidR="00FD1F3F">
        <w:t xml:space="preserve">he Forum submits that the CRTC should </w:t>
      </w:r>
      <w:r w:rsidR="00FD1F3F" w:rsidRPr="00006EBB">
        <w:rPr>
          <w:u w:val="single"/>
        </w:rPr>
        <w:t>only</w:t>
      </w:r>
      <w:r w:rsidR="00FD1F3F">
        <w:t xml:space="preserve"> grant regulatory support to the five largest ownership groups in each sector when those groups provide evidence that they are unable to use their own resources to maintain the stations.  Ownership groups that decline to use their own resources to maintain the</w:t>
      </w:r>
      <w:r w:rsidR="001D0AAD">
        <w:t>ir stations’ services should return the licence to the CRTC one year before they terminate the stations’ services</w:t>
      </w:r>
      <w:r w:rsidR="00886F70">
        <w:t xml:space="preserve">; </w:t>
      </w:r>
      <w:r w:rsidR="001D0AAD">
        <w:t>the CRTC should then invite applications for the licences from existing broadcasters and new applicants.</w:t>
      </w:r>
    </w:p>
    <w:p w14:paraId="12DDC33A" w14:textId="52258362" w:rsidR="00E56B8A" w:rsidRDefault="00C710C7" w:rsidP="00E56B8A">
      <w:pPr>
        <w:pStyle w:val="Heading3"/>
      </w:pPr>
      <w:bookmarkStart w:id="40" w:name="_Toc54021172"/>
      <w:r>
        <w:lastRenderedPageBreak/>
        <w:t>Support granted must be l</w:t>
      </w:r>
      <w:r w:rsidR="00E56B8A">
        <w:t>awful</w:t>
      </w:r>
      <w:bookmarkEnd w:id="40"/>
    </w:p>
    <w:p w14:paraId="159B0CDC" w14:textId="063F8488" w:rsidR="00886F70" w:rsidRDefault="000576B2" w:rsidP="002B134F">
      <w:pPr>
        <w:pStyle w:val="FRPCintPara"/>
        <w:numPr>
          <w:ilvl w:val="0"/>
          <w:numId w:val="0"/>
        </w:numPr>
        <w:ind w:left="720"/>
      </w:pPr>
      <w:r>
        <w:t xml:space="preserve">As Parliament’s delegate the CRTC’s discretion is limited by its enabling statutes.  The </w:t>
      </w:r>
      <w:r w:rsidRPr="00E86FC6">
        <w:rPr>
          <w:i/>
          <w:iCs/>
        </w:rPr>
        <w:t>Broadcasting Act</w:t>
      </w:r>
      <w:r>
        <w:t xml:space="preserve"> defines two specific roles for the CRTC:  to regulate and to supervise all aspects of the broadcasting system. Though it is true that Parliament suggests that the </w:t>
      </w:r>
      <w:r w:rsidR="00886F70">
        <w:t xml:space="preserve"> “broadcasting system be regulated and supervised in a flexible manner” (subsection 5(2)) it is unclear whether that discretionary statement (using “should”) enables the CRTC to override the preceding mandatory statement (“shall”).</w:t>
      </w:r>
    </w:p>
    <w:tbl>
      <w:tblPr>
        <w:tblpPr w:leftFromText="187" w:rightFromText="187" w:vertAnchor="page" w:horzAnchor="margin" w:tblpXSpec="right" w:tblpY="2661"/>
        <w:tblOverlap w:val="never"/>
        <w:tblW w:w="0" w:type="auto"/>
        <w:tblLook w:val="04A0" w:firstRow="1" w:lastRow="0" w:firstColumn="1" w:lastColumn="0" w:noHBand="0" w:noVBand="1"/>
      </w:tblPr>
      <w:tblGrid>
        <w:gridCol w:w="5395"/>
      </w:tblGrid>
      <w:tr w:rsidR="00886F70" w14:paraId="27E6A09D" w14:textId="77777777" w:rsidTr="00886F70">
        <w:tc>
          <w:tcPr>
            <w:tcW w:w="5395" w:type="dxa"/>
          </w:tcPr>
          <w:p w14:paraId="42453FC4" w14:textId="77777777" w:rsidR="00886F70" w:rsidRDefault="00886F70" w:rsidP="00886F70">
            <w:pPr>
              <w:pStyle w:val="FRPCintPara"/>
              <w:numPr>
                <w:ilvl w:val="0"/>
                <w:numId w:val="0"/>
              </w:numPr>
              <w:spacing w:after="120"/>
              <w:rPr>
                <w:sz w:val="20"/>
                <w:szCs w:val="20"/>
              </w:rPr>
            </w:pPr>
            <w:r w:rsidRPr="00861818">
              <w:rPr>
                <w:sz w:val="20"/>
                <w:szCs w:val="20"/>
              </w:rPr>
              <w:t>5 (1) Subject to this Act and the Radiocommunication Act and to any directions to the Commission issued by the Governor in Council under this Act</w:t>
            </w:r>
            <w:r w:rsidRPr="00886F70">
              <w:rPr>
                <w:b/>
                <w:bCs/>
                <w:sz w:val="20"/>
                <w:szCs w:val="20"/>
              </w:rPr>
              <w:t>, the Commission shall regulate and supervise all aspects of the Canadian broadcasting system</w:t>
            </w:r>
            <w:r w:rsidRPr="00861818">
              <w:rPr>
                <w:sz w:val="20"/>
                <w:szCs w:val="20"/>
              </w:rPr>
              <w:t xml:space="preserve"> with a view to implementing the broadcasting policy set out in subsection 3(1) and, in so doing, shall have regard to the regulatory policy set out in subsection (2).</w:t>
            </w:r>
          </w:p>
          <w:p w14:paraId="78491CE6" w14:textId="14EBB38D" w:rsidR="00886F70" w:rsidRPr="00861818" w:rsidRDefault="00886F70" w:rsidP="00886F70">
            <w:pPr>
              <w:pStyle w:val="FRPCintPara"/>
              <w:numPr>
                <w:ilvl w:val="0"/>
                <w:numId w:val="0"/>
              </w:numPr>
              <w:spacing w:after="120"/>
              <w:rPr>
                <w:sz w:val="20"/>
                <w:szCs w:val="20"/>
              </w:rPr>
            </w:pPr>
            <w:r>
              <w:rPr>
                <w:sz w:val="20"/>
                <w:szCs w:val="20"/>
              </w:rPr>
              <w:t>[bold font added]</w:t>
            </w:r>
          </w:p>
        </w:tc>
      </w:tr>
    </w:tbl>
    <w:p w14:paraId="3D836C5F" w14:textId="08D476A8" w:rsidR="00E86FC6" w:rsidRPr="002B6A88" w:rsidRDefault="000576B2" w:rsidP="006024C4">
      <w:pPr>
        <w:pStyle w:val="FRPCintPara"/>
        <w:keepNext/>
      </w:pPr>
      <w:r>
        <w:t xml:space="preserve">The Forum’s view is that the CRTC may introduce temporary measures to address the circumstances of individual broadcasters, provided </w:t>
      </w:r>
      <w:r w:rsidR="00861818">
        <w:t>the available evidence enables it to</w:t>
      </w:r>
      <w:r>
        <w:t xml:space="preserve"> determine that these measures will ultimately ensure that Parliament’s broadcasting policy’s statements regarding Canadian ownership and control, news, employment opportunities, the resources to be devoted to Canadian programming and licensee responsibility are respected:  </w:t>
      </w:r>
    </w:p>
    <w:tbl>
      <w:tblPr>
        <w:tblpPr w:leftFromText="187" w:rightFromText="187" w:vertAnchor="text" w:horzAnchor="margin" w:tblpY="1"/>
        <w:tblOverlap w:val="never"/>
        <w:tblW w:w="10350" w:type="dxa"/>
        <w:tblLook w:val="04A0" w:firstRow="1" w:lastRow="0" w:firstColumn="1" w:lastColumn="0" w:noHBand="0" w:noVBand="1"/>
      </w:tblPr>
      <w:tblGrid>
        <w:gridCol w:w="10350"/>
      </w:tblGrid>
      <w:tr w:rsidR="00CE0355" w14:paraId="57EC8914" w14:textId="77777777" w:rsidTr="00E86FC6">
        <w:tc>
          <w:tcPr>
            <w:tcW w:w="10350" w:type="dxa"/>
          </w:tcPr>
          <w:p w14:paraId="1EF41390" w14:textId="77777777" w:rsidR="00CE0355" w:rsidRPr="00470EBC" w:rsidRDefault="00CE0355" w:rsidP="00470EBC">
            <w:pPr>
              <w:pStyle w:val="FRPCtableText"/>
              <w:framePr w:hSpace="0" w:wrap="auto" w:vAnchor="margin" w:hAnchor="text" w:yAlign="inline"/>
              <w:suppressOverlap w:val="0"/>
            </w:pPr>
            <w:r w:rsidRPr="00470EBC">
              <w:t>3 (1) It is hereby declared as the broadcasting policy for Canada that</w:t>
            </w:r>
          </w:p>
          <w:p w14:paraId="149F4306" w14:textId="77777777" w:rsidR="00CE0355" w:rsidRPr="00470EBC" w:rsidRDefault="00CE0355" w:rsidP="00470EBC">
            <w:pPr>
              <w:pStyle w:val="FRPCtableText"/>
              <w:framePr w:hSpace="0" w:wrap="auto" w:vAnchor="margin" w:hAnchor="text" w:yAlign="inline"/>
              <w:suppressOverlap w:val="0"/>
            </w:pPr>
            <w:r w:rsidRPr="00470EBC">
              <w:t>(a) the Canadian broadcasting system shall be effectively owned and controlled by Canadians;</w:t>
            </w:r>
          </w:p>
          <w:p w14:paraId="3CDAEA23" w14:textId="77777777" w:rsidR="00CE0355" w:rsidRPr="00470EBC" w:rsidRDefault="00CE0355" w:rsidP="00470EBC">
            <w:pPr>
              <w:pStyle w:val="FRPCtableText"/>
              <w:framePr w:hSpace="0" w:wrap="auto" w:vAnchor="margin" w:hAnchor="text" w:yAlign="inline"/>
              <w:suppressOverlap w:val="0"/>
            </w:pPr>
            <w:r w:rsidRPr="00470EBC">
              <w:t>…</w:t>
            </w:r>
          </w:p>
          <w:p w14:paraId="355519F5" w14:textId="77777777" w:rsidR="00CE0355" w:rsidRPr="00470EBC" w:rsidRDefault="00CE0355" w:rsidP="00470EBC">
            <w:pPr>
              <w:pStyle w:val="FRPCtableText"/>
              <w:framePr w:hSpace="0" w:wrap="auto" w:vAnchor="margin" w:hAnchor="text" w:yAlign="inline"/>
              <w:suppressOverlap w:val="0"/>
            </w:pPr>
            <w:r w:rsidRPr="00470EBC">
              <w:t>(d) the Canadian broadcasting system should</w:t>
            </w:r>
          </w:p>
          <w:p w14:paraId="1CD18C4B" w14:textId="77777777" w:rsidR="00CE0355" w:rsidRPr="00470EBC" w:rsidRDefault="00CE0355" w:rsidP="004143CF">
            <w:pPr>
              <w:pStyle w:val="FRPCtableText"/>
              <w:framePr w:hSpace="0" w:wrap="auto" w:vAnchor="margin" w:hAnchor="text" w:yAlign="inline"/>
              <w:ind w:left="250"/>
              <w:suppressOverlap w:val="0"/>
            </w:pPr>
            <w:r w:rsidRPr="00470EBC">
              <w:t>(</w:t>
            </w:r>
            <w:proofErr w:type="spellStart"/>
            <w:r w:rsidRPr="00470EBC">
              <w:t>i</w:t>
            </w:r>
            <w:proofErr w:type="spellEnd"/>
            <w:r w:rsidRPr="00470EBC">
              <w:t xml:space="preserve">) serve to </w:t>
            </w:r>
            <w:r w:rsidRPr="004143CF">
              <w:rPr>
                <w:b/>
                <w:bCs/>
              </w:rPr>
              <w:t>safeguard, enrich and strengthen the cultural, political, social and economic fabric of Canada</w:t>
            </w:r>
            <w:r w:rsidRPr="00470EBC">
              <w:t>,</w:t>
            </w:r>
          </w:p>
          <w:p w14:paraId="2DFFED3E" w14:textId="77777777" w:rsidR="00CE0355" w:rsidRPr="00470EBC" w:rsidRDefault="00CE0355" w:rsidP="004143CF">
            <w:pPr>
              <w:pStyle w:val="FRPCtableText"/>
              <w:framePr w:hSpace="0" w:wrap="auto" w:vAnchor="margin" w:hAnchor="text" w:yAlign="inline"/>
              <w:ind w:left="250"/>
              <w:suppressOverlap w:val="0"/>
            </w:pPr>
            <w:r w:rsidRPr="00470EBC">
              <w:t>…</w:t>
            </w:r>
          </w:p>
          <w:p w14:paraId="4E3D2EC0" w14:textId="77777777" w:rsidR="00CE0355" w:rsidRPr="00470EBC" w:rsidRDefault="00CE0355" w:rsidP="004143CF">
            <w:pPr>
              <w:pStyle w:val="FRPCtableText"/>
              <w:framePr w:hSpace="0" w:wrap="auto" w:vAnchor="margin" w:hAnchor="text" w:yAlign="inline"/>
              <w:ind w:left="250"/>
              <w:suppressOverlap w:val="0"/>
            </w:pPr>
            <w:r w:rsidRPr="00470EBC">
              <w:t xml:space="preserve">(iii) </w:t>
            </w:r>
            <w:r w:rsidRPr="004143CF">
              <w:rPr>
                <w:b/>
                <w:bCs/>
              </w:rPr>
              <w:t>through … the employment opportunities arising out of its operations, serve the needs and interests, and reflect the circumstances and aspirations, of Canadian men, women and children,</w:t>
            </w:r>
            <w:r w:rsidRPr="00470EBC">
              <w:t xml:space="preserve"> …</w:t>
            </w:r>
          </w:p>
          <w:p w14:paraId="1C3763AE" w14:textId="77777777" w:rsidR="00CE0355" w:rsidRPr="00470EBC" w:rsidRDefault="00CE0355" w:rsidP="00470EBC">
            <w:pPr>
              <w:pStyle w:val="FRPCtableText"/>
              <w:framePr w:hSpace="0" w:wrap="auto" w:vAnchor="margin" w:hAnchor="text" w:yAlign="inline"/>
              <w:suppressOverlap w:val="0"/>
            </w:pPr>
            <w:r w:rsidRPr="00470EBC">
              <w:t xml:space="preserve">(f) </w:t>
            </w:r>
            <w:r w:rsidRPr="004143CF">
              <w:rPr>
                <w:b/>
                <w:bCs/>
              </w:rPr>
              <w:t>each broadcasting undertaking shall make maximum use, and in no case less than predominant use, of Canadian creative and other resources in the creation and presentation of programming</w:t>
            </w:r>
            <w:r w:rsidRPr="00470EBC">
              <w:t>, …</w:t>
            </w:r>
          </w:p>
          <w:p w14:paraId="13F7BB38" w14:textId="77777777" w:rsidR="00CE0355" w:rsidRPr="00470EBC" w:rsidRDefault="00CE0355" w:rsidP="00470EBC">
            <w:pPr>
              <w:pStyle w:val="FRPCtableText"/>
              <w:framePr w:hSpace="0" w:wrap="auto" w:vAnchor="margin" w:hAnchor="text" w:yAlign="inline"/>
              <w:suppressOverlap w:val="0"/>
            </w:pPr>
            <w:r w:rsidRPr="00470EBC">
              <w:t xml:space="preserve">(h) </w:t>
            </w:r>
            <w:r w:rsidRPr="004143CF">
              <w:rPr>
                <w:b/>
                <w:bCs/>
              </w:rPr>
              <w:t>all persons who are licensed to carry on broadcasting undertakings have a responsibility for the programs they broadcast</w:t>
            </w:r>
            <w:r w:rsidRPr="00470EBC">
              <w:t>;</w:t>
            </w:r>
          </w:p>
          <w:p w14:paraId="21D5FEE1" w14:textId="77777777" w:rsidR="00CE0355" w:rsidRPr="00470EBC" w:rsidRDefault="00CE0355" w:rsidP="00470EBC">
            <w:pPr>
              <w:pStyle w:val="FRPCtableText"/>
              <w:framePr w:hSpace="0" w:wrap="auto" w:vAnchor="margin" w:hAnchor="text" w:yAlign="inline"/>
              <w:suppressOverlap w:val="0"/>
            </w:pPr>
            <w:r w:rsidRPr="00470EBC">
              <w:t>(</w:t>
            </w:r>
            <w:proofErr w:type="spellStart"/>
            <w:r w:rsidRPr="00470EBC">
              <w:t>i</w:t>
            </w:r>
            <w:proofErr w:type="spellEnd"/>
            <w:r w:rsidRPr="00470EBC">
              <w:t>) the programming provided by the Canadian broadcasting system should</w:t>
            </w:r>
          </w:p>
          <w:p w14:paraId="299FC5AC" w14:textId="77777777" w:rsidR="00CE0355" w:rsidRPr="00470EBC" w:rsidRDefault="00CE0355" w:rsidP="00886F70">
            <w:pPr>
              <w:pStyle w:val="FRPCtableText"/>
              <w:framePr w:hSpace="0" w:wrap="auto" w:vAnchor="margin" w:hAnchor="text" w:yAlign="inline"/>
              <w:ind w:left="250"/>
              <w:suppressOverlap w:val="0"/>
            </w:pPr>
            <w:r w:rsidRPr="00470EBC">
              <w:t>(</w:t>
            </w:r>
            <w:proofErr w:type="spellStart"/>
            <w:r w:rsidRPr="00470EBC">
              <w:t>i</w:t>
            </w:r>
            <w:proofErr w:type="spellEnd"/>
            <w:r w:rsidRPr="00470EBC">
              <w:t xml:space="preserve">) be </w:t>
            </w:r>
            <w:r w:rsidRPr="004143CF">
              <w:rPr>
                <w:b/>
                <w:bCs/>
              </w:rPr>
              <w:t>varied</w:t>
            </w:r>
            <w:r w:rsidRPr="00470EBC">
              <w:t xml:space="preserve"> and comprehensive, providing </w:t>
            </w:r>
            <w:r w:rsidRPr="004143CF">
              <w:rPr>
                <w:b/>
                <w:bCs/>
              </w:rPr>
              <w:t>a balance of information, enlightenment and entertainment</w:t>
            </w:r>
            <w:r w:rsidRPr="00470EBC">
              <w:t xml:space="preserve"> for men, women and children of all ages, interests and tastes,</w:t>
            </w:r>
          </w:p>
          <w:p w14:paraId="716F1958" w14:textId="77777777" w:rsidR="00CE0355" w:rsidRPr="00470EBC" w:rsidRDefault="00CE0355" w:rsidP="00886F70">
            <w:pPr>
              <w:pStyle w:val="FRPCtableText"/>
              <w:framePr w:hSpace="0" w:wrap="auto" w:vAnchor="margin" w:hAnchor="text" w:yAlign="inline"/>
              <w:ind w:left="250"/>
              <w:suppressOverlap w:val="0"/>
            </w:pPr>
            <w:r w:rsidRPr="00470EBC">
              <w:t xml:space="preserve">(ii) </w:t>
            </w:r>
            <w:r w:rsidRPr="004143CF">
              <w:rPr>
                <w:b/>
                <w:bCs/>
              </w:rPr>
              <w:t>be drawn from local</w:t>
            </w:r>
            <w:r w:rsidRPr="00470EBC">
              <w:t xml:space="preserve">, regional, national and international </w:t>
            </w:r>
            <w:r w:rsidRPr="004143CF">
              <w:rPr>
                <w:b/>
                <w:bCs/>
              </w:rPr>
              <w:t>sources</w:t>
            </w:r>
            <w:r w:rsidRPr="00470EBC">
              <w:t>,</w:t>
            </w:r>
          </w:p>
          <w:p w14:paraId="4E2C3835" w14:textId="77777777" w:rsidR="00CE0355" w:rsidRPr="00470EBC" w:rsidRDefault="00CE0355" w:rsidP="00886F70">
            <w:pPr>
              <w:pStyle w:val="FRPCtableText"/>
              <w:framePr w:hSpace="0" w:wrap="auto" w:vAnchor="margin" w:hAnchor="text" w:yAlign="inline"/>
              <w:ind w:left="250"/>
              <w:suppressOverlap w:val="0"/>
            </w:pPr>
            <w:r w:rsidRPr="00470EBC">
              <w:t xml:space="preserve">… </w:t>
            </w:r>
          </w:p>
          <w:p w14:paraId="1175312F" w14:textId="77777777" w:rsidR="00CE0355" w:rsidRPr="00470EBC" w:rsidRDefault="00CE0355" w:rsidP="00886F70">
            <w:pPr>
              <w:pStyle w:val="FRPCtableText"/>
              <w:framePr w:hSpace="0" w:wrap="auto" w:vAnchor="margin" w:hAnchor="text" w:yAlign="inline"/>
              <w:ind w:left="250"/>
              <w:suppressOverlap w:val="0"/>
            </w:pPr>
            <w:r w:rsidRPr="00470EBC">
              <w:t xml:space="preserve">(iv) </w:t>
            </w:r>
            <w:r w:rsidRPr="004143CF">
              <w:rPr>
                <w:b/>
                <w:bCs/>
              </w:rPr>
              <w:t>provide a reasonable opportunity for the public to be exposed to the expression of differing views on matters of public concern ….</w:t>
            </w:r>
            <w:r w:rsidRPr="00470EBC">
              <w:t xml:space="preserve"> </w:t>
            </w:r>
          </w:p>
        </w:tc>
      </w:tr>
    </w:tbl>
    <w:p w14:paraId="6478D76D" w14:textId="3B9379E4" w:rsidR="002C5B0D" w:rsidRDefault="002C5B0D" w:rsidP="002B134F">
      <w:pPr>
        <w:pStyle w:val="FRPCintPara"/>
        <w:numPr>
          <w:ilvl w:val="0"/>
          <w:numId w:val="0"/>
        </w:numPr>
        <w:ind w:left="720"/>
      </w:pPr>
    </w:p>
    <w:p w14:paraId="5FBF6F7F" w14:textId="3222F22E" w:rsidR="00470EBC" w:rsidRDefault="00B37ECF" w:rsidP="00B37ECF">
      <w:pPr>
        <w:pStyle w:val="Heading3"/>
      </w:pPr>
      <w:bookmarkStart w:id="41" w:name="_Toc54021173"/>
      <w:r>
        <w:t>Changes must not be permanent</w:t>
      </w:r>
      <w:bookmarkEnd w:id="41"/>
    </w:p>
    <w:p w14:paraId="1881335D" w14:textId="63B777C9" w:rsidR="00E044F8" w:rsidRDefault="00B37ECF" w:rsidP="00B71251">
      <w:pPr>
        <w:pStyle w:val="FRPCintPara"/>
      </w:pPr>
      <w:r>
        <w:t>The Forum’s third concern is that t</w:t>
      </w:r>
      <w:r w:rsidR="00BF6EC2" w:rsidRPr="00BF6EC2">
        <w:t>he measures taken by the CRTC must be temporary</w:t>
      </w:r>
      <w:r w:rsidR="00E044F8">
        <w:t xml:space="preserve"> and must be clearly described as temporary</w:t>
      </w:r>
      <w:r w:rsidR="00BF6EC2" w:rsidRPr="00BF6EC2">
        <w:t xml:space="preserve">.  </w:t>
      </w:r>
      <w:r>
        <w:t>This is because, fi</w:t>
      </w:r>
      <w:r w:rsidR="00BF6EC2" w:rsidRPr="00BF6EC2">
        <w:t xml:space="preserve">rst, the CRTC’s measures were established on the basis of evidence and the Commission’s expertise </w:t>
      </w:r>
      <w:r w:rsidR="00E044F8">
        <w:t xml:space="preserve">– </w:t>
      </w:r>
      <w:r w:rsidR="00BF6EC2" w:rsidRPr="00BF6EC2">
        <w:t xml:space="preserve">neither of </w:t>
      </w:r>
      <w:r w:rsidR="00BF6EC2" w:rsidRPr="00BF6EC2">
        <w:lastRenderedPageBreak/>
        <w:t>which, one presumes, has changed permanently</w:t>
      </w:r>
      <w:r>
        <w:t>:  t</w:t>
      </w:r>
      <w:r w:rsidR="00BF6EC2" w:rsidRPr="00BF6EC2">
        <w:t xml:space="preserve">he current crisis does not justify the permanent reversal of all CRTC policies.  </w:t>
      </w:r>
    </w:p>
    <w:p w14:paraId="16A36BC8" w14:textId="63D983E0" w:rsidR="00E044F8" w:rsidRDefault="00B37ECF" w:rsidP="00B71251">
      <w:pPr>
        <w:pStyle w:val="FRPCintPara"/>
      </w:pPr>
      <w:r>
        <w:t xml:space="preserve">Second, unlike the </w:t>
      </w:r>
      <w:r w:rsidRPr="00B37ECF">
        <w:rPr>
          <w:i/>
          <w:iCs/>
        </w:rPr>
        <w:t xml:space="preserve">Let’s Talk TV </w:t>
      </w:r>
      <w:r>
        <w:t xml:space="preserve">proceedings which the CRTC promoted widely, it is unlikely that the majority of Canadians are aware of this proceeding, and its implications.  Canadians should be granted a better opportunity to comment before </w:t>
      </w:r>
      <w:r w:rsidR="006C4ED0" w:rsidRPr="006C4ED0">
        <w:rPr>
          <w:i/>
          <w:iCs/>
          <w:u w:val="single"/>
        </w:rPr>
        <w:t>any</w:t>
      </w:r>
      <w:r w:rsidR="006C4ED0">
        <w:t xml:space="preserve"> </w:t>
      </w:r>
      <w:r>
        <w:t xml:space="preserve">permanent changes are made </w:t>
      </w:r>
      <w:r w:rsidR="006C4ED0">
        <w:t xml:space="preserve">which </w:t>
      </w:r>
      <w:r>
        <w:t xml:space="preserve">reduce the quality of service they now receive.  </w:t>
      </w:r>
    </w:p>
    <w:p w14:paraId="0F7F9381" w14:textId="77777777" w:rsidR="00E044F8" w:rsidRDefault="00B37ECF" w:rsidP="00B71251">
      <w:pPr>
        <w:pStyle w:val="FRPCintPara"/>
      </w:pPr>
      <w:r>
        <w:t>Third, making</w:t>
      </w:r>
      <w:r w:rsidR="00BF6EC2" w:rsidRPr="00BF6EC2">
        <w:t xml:space="preserve"> any measures flowing from this proceedin</w:t>
      </w:r>
      <w:r>
        <w:t>g</w:t>
      </w:r>
      <w:r w:rsidR="00BF6EC2" w:rsidRPr="00BF6EC2">
        <w:t xml:space="preserve"> permanent risks the breach of Parliament’s objects for Canada’s broadcasting system.  </w:t>
      </w:r>
    </w:p>
    <w:p w14:paraId="2DDAF39B" w14:textId="177126D4" w:rsidR="00805A21" w:rsidRDefault="00B37ECF" w:rsidP="00B71251">
      <w:pPr>
        <w:pStyle w:val="FRPCintPara"/>
      </w:pPr>
      <w:r>
        <w:t xml:space="preserve">Fourth – and while foreign ownership of Canadian broadcasting services is not yet under consideration by Parliament – if the legislature </w:t>
      </w:r>
      <w:r w:rsidR="00E044F8">
        <w:t xml:space="preserve">were to amend the </w:t>
      </w:r>
      <w:r w:rsidR="00E044F8" w:rsidRPr="00E044F8">
        <w:rPr>
          <w:i/>
          <w:iCs/>
        </w:rPr>
        <w:t>Broadcasting Act</w:t>
      </w:r>
      <w:r w:rsidR="00E044F8">
        <w:t xml:space="preserve"> before the expiry of any temporary measures taken as a result of this proceeding, </w:t>
      </w:r>
      <w:r w:rsidR="00BF6EC2" w:rsidRPr="00BF6EC2">
        <w:t xml:space="preserve">non-Canadian broadcasters would understandably wish to be regulated on the basis of the ‘temporary’ relief measures rather than the higher standards that </w:t>
      </w:r>
      <w:r w:rsidR="00E044F8">
        <w:t xml:space="preserve">were previously </w:t>
      </w:r>
      <w:r w:rsidR="00BF6EC2" w:rsidRPr="00BF6EC2">
        <w:t>established over the last fifty years.</w:t>
      </w:r>
    </w:p>
    <w:p w14:paraId="6AEB3EC5" w14:textId="57BC26AE" w:rsidR="00D652EA" w:rsidRDefault="00D652EA" w:rsidP="00B71251">
      <w:pPr>
        <w:pStyle w:val="FRPCintPara"/>
      </w:pPr>
      <w:r>
        <w:t>At present</w:t>
      </w:r>
      <w:r w:rsidR="00837AB1">
        <w:t xml:space="preserve"> the licences of a number of large and smaller ownership groups </w:t>
      </w:r>
      <w:r>
        <w:t>expire within the next two years:</w:t>
      </w:r>
      <w:r w:rsidR="00E14F43">
        <w:t xml:space="preserve">  </w:t>
      </w:r>
      <w:r w:rsidR="00E14F43">
        <w:fldChar w:fldCharType="begin"/>
      </w:r>
      <w:r w:rsidR="00E14F43">
        <w:instrText xml:space="preserve"> REF _Ref54015757 \h </w:instrText>
      </w:r>
      <w:r w:rsidR="00E14F43">
        <w:fldChar w:fldCharType="separate"/>
      </w:r>
      <w:r w:rsidR="00A74C32">
        <w:t xml:space="preserve">Table </w:t>
      </w:r>
      <w:r w:rsidR="00A74C32">
        <w:rPr>
          <w:noProof/>
        </w:rPr>
        <w:t>6</w:t>
      </w:r>
      <w:r w:rsidR="00E14F43">
        <w:fldChar w:fldCharType="end"/>
      </w:r>
      <w:r w:rsidR="00E14F43">
        <w:t xml:space="preserve">.  The range of dates and the overarching uncertainty regarding the Covid-19 pandemic’s duration </w:t>
      </w:r>
      <w:r w:rsidR="00E85EDC">
        <w:t xml:space="preserve">make it difficult to recommend </w:t>
      </w:r>
      <w:r w:rsidR="00837AB1">
        <w:t>any</w:t>
      </w:r>
      <w:r w:rsidR="00E85EDC">
        <w:t xml:space="preserve"> ‘best’ time for the CRTC to consider the cessation of any temporary measures granted in response to the CAB’s application.  </w:t>
      </w:r>
      <w:r w:rsidR="0000471F">
        <w:t>The</w:t>
      </w:r>
      <w:r w:rsidR="00E85EDC">
        <w:t xml:space="preserve"> CRTC has the authority and has in the past renewed licences administratively, meaning that the specific licence terms now in place </w:t>
      </w:r>
      <w:r w:rsidR="00837AB1">
        <w:t>do not in any way dictate the timing of the CRTC’s necessary and eventual review of any measures it decides to implement to support private broadcasting. The Forum suggests</w:t>
      </w:r>
      <w:r w:rsidR="0000471F">
        <w:t>, however,</w:t>
      </w:r>
      <w:r w:rsidR="00837AB1">
        <w:t xml:space="preserve"> that if the CRTC grants such measures</w:t>
      </w:r>
      <w:r w:rsidR="0000471F">
        <w:t xml:space="preserve"> it include provisions for a timely review of their impact – perhaps within the next year.</w:t>
      </w:r>
      <w:r w:rsidR="00837AB1">
        <w:t xml:space="preserve"> </w:t>
      </w:r>
    </w:p>
    <w:p w14:paraId="0578DE49" w14:textId="06817B22" w:rsidR="00E14F43" w:rsidRDefault="00E14F43" w:rsidP="00E14F43">
      <w:pPr>
        <w:pStyle w:val="Caption"/>
        <w:keepNext/>
      </w:pPr>
      <w:bookmarkStart w:id="42" w:name="_Ref54015757"/>
      <w:bookmarkStart w:id="43" w:name="_Toc54017099"/>
      <w:r>
        <w:t xml:space="preserve">Table </w:t>
      </w:r>
      <w:fldSimple w:instr=" SEQ Table \* ARABIC ">
        <w:r w:rsidR="00A74C32">
          <w:rPr>
            <w:noProof/>
          </w:rPr>
          <w:t>6</w:t>
        </w:r>
      </w:fldSimple>
      <w:bookmarkEnd w:id="42"/>
      <w:r>
        <w:tab/>
      </w:r>
      <w:r w:rsidR="0000471F">
        <w:t>E</w:t>
      </w:r>
      <w:r>
        <w:t>xpiry dates of ownership group licences</w:t>
      </w:r>
      <w:bookmarkEnd w:id="43"/>
    </w:p>
    <w:tbl>
      <w:tblPr>
        <w:tblStyle w:val="TableGrid"/>
        <w:tblW w:w="9449" w:type="dxa"/>
        <w:tblInd w:w="86" w:type="dxa"/>
        <w:tblLook w:val="04A0" w:firstRow="1" w:lastRow="0" w:firstColumn="1" w:lastColumn="0" w:noHBand="0" w:noVBand="1"/>
      </w:tblPr>
      <w:tblGrid>
        <w:gridCol w:w="3088"/>
        <w:gridCol w:w="3931"/>
        <w:gridCol w:w="2430"/>
      </w:tblGrid>
      <w:tr w:rsidR="00D652EA" w:rsidRPr="008E0301" w14:paraId="650D63C1" w14:textId="77777777" w:rsidTr="000D22AB">
        <w:tc>
          <w:tcPr>
            <w:tcW w:w="3088" w:type="dxa"/>
          </w:tcPr>
          <w:p w14:paraId="21635679" w14:textId="4F8A5F61" w:rsidR="00D652EA" w:rsidRPr="008E0301" w:rsidRDefault="00E14F43" w:rsidP="00D652EA">
            <w:pPr>
              <w:pStyle w:val="Table"/>
              <w:ind w:left="0"/>
              <w:rPr>
                <w:b/>
                <w:bCs/>
                <w:sz w:val="20"/>
                <w:szCs w:val="20"/>
              </w:rPr>
            </w:pPr>
            <w:r w:rsidRPr="008E0301">
              <w:rPr>
                <w:b/>
                <w:bCs/>
                <w:sz w:val="20"/>
                <w:szCs w:val="20"/>
              </w:rPr>
              <w:t>Type of ownership group</w:t>
            </w:r>
          </w:p>
        </w:tc>
        <w:tc>
          <w:tcPr>
            <w:tcW w:w="3931" w:type="dxa"/>
          </w:tcPr>
          <w:p w14:paraId="7AF92F14" w14:textId="6CA474EE" w:rsidR="00D652EA" w:rsidRPr="008E0301" w:rsidRDefault="000D22AB" w:rsidP="00D652EA">
            <w:pPr>
              <w:pStyle w:val="Table"/>
              <w:ind w:left="0"/>
              <w:rPr>
                <w:b/>
                <w:bCs/>
                <w:sz w:val="20"/>
                <w:szCs w:val="20"/>
              </w:rPr>
            </w:pPr>
            <w:r w:rsidRPr="008E0301">
              <w:rPr>
                <w:b/>
                <w:bCs/>
                <w:sz w:val="20"/>
                <w:szCs w:val="20"/>
              </w:rPr>
              <w:t>Group and licensing decision</w:t>
            </w:r>
          </w:p>
        </w:tc>
        <w:tc>
          <w:tcPr>
            <w:tcW w:w="2430" w:type="dxa"/>
          </w:tcPr>
          <w:p w14:paraId="44900B46" w14:textId="704D0B59" w:rsidR="00D652EA" w:rsidRPr="008E0301" w:rsidRDefault="00D652EA" w:rsidP="00D652EA">
            <w:pPr>
              <w:pStyle w:val="Table"/>
              <w:ind w:left="0"/>
              <w:rPr>
                <w:b/>
                <w:bCs/>
                <w:sz w:val="20"/>
                <w:szCs w:val="20"/>
              </w:rPr>
            </w:pPr>
            <w:r w:rsidRPr="008E0301">
              <w:rPr>
                <w:b/>
                <w:bCs/>
                <w:sz w:val="20"/>
                <w:szCs w:val="20"/>
              </w:rPr>
              <w:t>Licence term</w:t>
            </w:r>
            <w:r w:rsidR="000D22AB" w:rsidRPr="008E0301">
              <w:rPr>
                <w:b/>
                <w:bCs/>
                <w:sz w:val="20"/>
                <w:szCs w:val="20"/>
              </w:rPr>
              <w:t xml:space="preserve"> ends</w:t>
            </w:r>
          </w:p>
        </w:tc>
      </w:tr>
      <w:tr w:rsidR="00E14F43" w:rsidRPr="008E0301" w14:paraId="6901FAC6" w14:textId="77777777" w:rsidTr="000D22AB">
        <w:tc>
          <w:tcPr>
            <w:tcW w:w="3088" w:type="dxa"/>
          </w:tcPr>
          <w:p w14:paraId="0B0E7DAF" w14:textId="4FC92113" w:rsidR="00E14F43" w:rsidRPr="008E0301" w:rsidRDefault="00E14F43" w:rsidP="00E14F43">
            <w:pPr>
              <w:pStyle w:val="Table"/>
              <w:ind w:left="0"/>
              <w:rPr>
                <w:sz w:val="20"/>
                <w:szCs w:val="20"/>
              </w:rPr>
            </w:pPr>
            <w:r w:rsidRPr="008E0301">
              <w:rPr>
                <w:sz w:val="20"/>
                <w:szCs w:val="20"/>
              </w:rPr>
              <w:t>Multicultural services</w:t>
            </w:r>
          </w:p>
        </w:tc>
        <w:tc>
          <w:tcPr>
            <w:tcW w:w="3931" w:type="dxa"/>
          </w:tcPr>
          <w:p w14:paraId="45F8493D" w14:textId="7206BCDA" w:rsidR="00E14F43" w:rsidRPr="008E0301" w:rsidRDefault="00E14F43" w:rsidP="00E14F43">
            <w:pPr>
              <w:pStyle w:val="Table"/>
              <w:ind w:left="0"/>
              <w:rPr>
                <w:sz w:val="20"/>
                <w:szCs w:val="20"/>
              </w:rPr>
            </w:pPr>
            <w:r w:rsidRPr="008E0301">
              <w:rPr>
                <w:sz w:val="20"/>
                <w:szCs w:val="20"/>
              </w:rPr>
              <w:t>Rogers (2020-254)</w:t>
            </w:r>
          </w:p>
        </w:tc>
        <w:tc>
          <w:tcPr>
            <w:tcW w:w="2430" w:type="dxa"/>
          </w:tcPr>
          <w:p w14:paraId="611E7882" w14:textId="0787E711" w:rsidR="00E14F43" w:rsidRPr="008E0301" w:rsidRDefault="00E14F43" w:rsidP="00E14F43">
            <w:pPr>
              <w:pStyle w:val="Table"/>
              <w:ind w:left="0"/>
              <w:rPr>
                <w:sz w:val="20"/>
                <w:szCs w:val="20"/>
              </w:rPr>
            </w:pPr>
            <w:r w:rsidRPr="008E0301">
              <w:rPr>
                <w:sz w:val="20"/>
                <w:szCs w:val="20"/>
              </w:rPr>
              <w:t>31 August 2021</w:t>
            </w:r>
          </w:p>
        </w:tc>
      </w:tr>
      <w:tr w:rsidR="00E14F43" w:rsidRPr="008E0301" w14:paraId="3686D16E" w14:textId="77777777" w:rsidTr="000D22AB">
        <w:tc>
          <w:tcPr>
            <w:tcW w:w="3088" w:type="dxa"/>
          </w:tcPr>
          <w:p w14:paraId="45DC8A0B" w14:textId="5AD2F3BF" w:rsidR="00E14F43" w:rsidRPr="008E0301" w:rsidRDefault="00E14F43" w:rsidP="00E14F43">
            <w:pPr>
              <w:pStyle w:val="Table"/>
              <w:ind w:left="0"/>
              <w:rPr>
                <w:sz w:val="20"/>
                <w:szCs w:val="20"/>
              </w:rPr>
            </w:pPr>
            <w:r w:rsidRPr="008E0301">
              <w:rPr>
                <w:sz w:val="20"/>
                <w:szCs w:val="20"/>
              </w:rPr>
              <w:t>French-language groups</w:t>
            </w:r>
          </w:p>
        </w:tc>
        <w:tc>
          <w:tcPr>
            <w:tcW w:w="3931" w:type="dxa"/>
          </w:tcPr>
          <w:p w14:paraId="7109C9B1" w14:textId="6B5A9CC9" w:rsidR="00E14F43" w:rsidRPr="008E0301" w:rsidRDefault="00E14F43" w:rsidP="00E14F43">
            <w:pPr>
              <w:pStyle w:val="Table"/>
              <w:ind w:left="0"/>
              <w:rPr>
                <w:sz w:val="20"/>
                <w:szCs w:val="20"/>
              </w:rPr>
            </w:pPr>
            <w:r w:rsidRPr="008E0301">
              <w:rPr>
                <w:sz w:val="20"/>
                <w:szCs w:val="20"/>
              </w:rPr>
              <w:t>Bell (2017-144)</w:t>
            </w:r>
          </w:p>
          <w:p w14:paraId="02C7994F" w14:textId="5A17DFB9" w:rsidR="00E14F43" w:rsidRPr="008E0301" w:rsidRDefault="00E14F43" w:rsidP="00E14F43">
            <w:pPr>
              <w:pStyle w:val="Table"/>
              <w:ind w:left="0"/>
              <w:rPr>
                <w:sz w:val="20"/>
                <w:szCs w:val="20"/>
              </w:rPr>
            </w:pPr>
            <w:r w:rsidRPr="008E0301">
              <w:rPr>
                <w:sz w:val="20"/>
                <w:szCs w:val="20"/>
              </w:rPr>
              <w:t>Corus (2017-145)</w:t>
            </w:r>
          </w:p>
          <w:p w14:paraId="0523ABDD" w14:textId="45DE2FDC" w:rsidR="00E14F43" w:rsidRPr="008E0301" w:rsidRDefault="00E14F43" w:rsidP="00E14F43">
            <w:pPr>
              <w:pStyle w:val="Table"/>
              <w:ind w:left="0"/>
              <w:rPr>
                <w:sz w:val="20"/>
                <w:szCs w:val="20"/>
              </w:rPr>
            </w:pPr>
            <w:r w:rsidRPr="008E0301">
              <w:rPr>
                <w:sz w:val="20"/>
                <w:szCs w:val="20"/>
              </w:rPr>
              <w:t>Groupe V (2017-146)</w:t>
            </w:r>
          </w:p>
          <w:p w14:paraId="38A8A0C9" w14:textId="59CCFFBB" w:rsidR="00E14F43" w:rsidRPr="008E0301" w:rsidRDefault="00E14F43" w:rsidP="00E14F43">
            <w:pPr>
              <w:pStyle w:val="Table"/>
              <w:ind w:left="0"/>
              <w:rPr>
                <w:sz w:val="20"/>
                <w:szCs w:val="20"/>
              </w:rPr>
            </w:pPr>
            <w:r w:rsidRPr="008E0301">
              <w:rPr>
                <w:sz w:val="20"/>
                <w:szCs w:val="20"/>
              </w:rPr>
              <w:t>Quebecor Media (2017-147)</w:t>
            </w:r>
          </w:p>
        </w:tc>
        <w:tc>
          <w:tcPr>
            <w:tcW w:w="2430" w:type="dxa"/>
          </w:tcPr>
          <w:p w14:paraId="382D223A" w14:textId="66C8C95A" w:rsidR="00E14F43" w:rsidRPr="008E0301" w:rsidRDefault="00E14F43" w:rsidP="00E14F43">
            <w:pPr>
              <w:pStyle w:val="Table"/>
              <w:ind w:left="0"/>
              <w:rPr>
                <w:sz w:val="20"/>
                <w:szCs w:val="20"/>
              </w:rPr>
            </w:pPr>
            <w:r w:rsidRPr="008E0301">
              <w:rPr>
                <w:sz w:val="20"/>
                <w:szCs w:val="20"/>
              </w:rPr>
              <w:t>31 August 2022</w:t>
            </w:r>
          </w:p>
        </w:tc>
      </w:tr>
      <w:tr w:rsidR="00E14F43" w:rsidRPr="008E0301" w14:paraId="2C3BD885" w14:textId="77777777" w:rsidTr="000D22AB">
        <w:tc>
          <w:tcPr>
            <w:tcW w:w="3088" w:type="dxa"/>
          </w:tcPr>
          <w:p w14:paraId="67406A21" w14:textId="12DA26C0" w:rsidR="00E14F43" w:rsidRPr="008E0301" w:rsidRDefault="00E14F43" w:rsidP="00E14F43">
            <w:pPr>
              <w:pStyle w:val="Table"/>
              <w:ind w:left="0"/>
              <w:rPr>
                <w:sz w:val="20"/>
                <w:szCs w:val="20"/>
              </w:rPr>
            </w:pPr>
            <w:r w:rsidRPr="008E0301">
              <w:rPr>
                <w:sz w:val="20"/>
                <w:szCs w:val="20"/>
              </w:rPr>
              <w:t>English-language groups</w:t>
            </w:r>
          </w:p>
        </w:tc>
        <w:tc>
          <w:tcPr>
            <w:tcW w:w="3931" w:type="dxa"/>
          </w:tcPr>
          <w:p w14:paraId="32A2FCAA" w14:textId="77777777" w:rsidR="00E14F43" w:rsidRPr="008E0301" w:rsidRDefault="00E14F43" w:rsidP="00E14F43">
            <w:pPr>
              <w:pStyle w:val="Table"/>
              <w:ind w:left="0"/>
              <w:rPr>
                <w:sz w:val="20"/>
                <w:szCs w:val="20"/>
              </w:rPr>
            </w:pPr>
            <w:r w:rsidRPr="008E0301">
              <w:rPr>
                <w:sz w:val="20"/>
                <w:szCs w:val="20"/>
              </w:rPr>
              <w:t>Bell (2017-149)</w:t>
            </w:r>
          </w:p>
          <w:p w14:paraId="5A2DD928" w14:textId="77777777" w:rsidR="00E14F43" w:rsidRPr="008E0301" w:rsidRDefault="00E14F43" w:rsidP="00E14F43">
            <w:pPr>
              <w:pStyle w:val="Table"/>
              <w:ind w:left="0"/>
              <w:rPr>
                <w:sz w:val="20"/>
                <w:szCs w:val="20"/>
              </w:rPr>
            </w:pPr>
            <w:r w:rsidRPr="008E0301">
              <w:rPr>
                <w:sz w:val="20"/>
                <w:szCs w:val="20"/>
              </w:rPr>
              <w:t>Corus (2017-150)</w:t>
            </w:r>
          </w:p>
          <w:p w14:paraId="2D3455EC" w14:textId="714F389B" w:rsidR="00E14F43" w:rsidRPr="008E0301" w:rsidRDefault="00E14F43" w:rsidP="00E14F43">
            <w:pPr>
              <w:pStyle w:val="Table"/>
              <w:ind w:left="0"/>
              <w:rPr>
                <w:sz w:val="20"/>
                <w:szCs w:val="20"/>
              </w:rPr>
            </w:pPr>
            <w:r w:rsidRPr="008E0301">
              <w:rPr>
                <w:sz w:val="20"/>
                <w:szCs w:val="20"/>
              </w:rPr>
              <w:t>Rogers Media (2017-151)</w:t>
            </w:r>
          </w:p>
        </w:tc>
        <w:tc>
          <w:tcPr>
            <w:tcW w:w="2430" w:type="dxa"/>
          </w:tcPr>
          <w:p w14:paraId="4BD101B8" w14:textId="551CDCBC" w:rsidR="00E14F43" w:rsidRPr="008E0301" w:rsidRDefault="00E14F43" w:rsidP="00E14F43">
            <w:pPr>
              <w:pStyle w:val="Table"/>
              <w:ind w:left="0"/>
              <w:rPr>
                <w:sz w:val="20"/>
                <w:szCs w:val="20"/>
              </w:rPr>
            </w:pPr>
            <w:r w:rsidRPr="008E0301">
              <w:rPr>
                <w:sz w:val="20"/>
                <w:szCs w:val="20"/>
              </w:rPr>
              <w:t>31 August 2022</w:t>
            </w:r>
          </w:p>
        </w:tc>
      </w:tr>
      <w:tr w:rsidR="00E14F43" w:rsidRPr="008E0301" w14:paraId="7C33C9FB" w14:textId="77777777" w:rsidTr="000D22AB">
        <w:tc>
          <w:tcPr>
            <w:tcW w:w="3088" w:type="dxa"/>
          </w:tcPr>
          <w:p w14:paraId="2312396B" w14:textId="777DDA1C" w:rsidR="00E14F43" w:rsidRPr="008E0301" w:rsidRDefault="00E14F43" w:rsidP="00E14F43">
            <w:pPr>
              <w:pStyle w:val="Table"/>
              <w:ind w:left="0"/>
              <w:rPr>
                <w:sz w:val="20"/>
                <w:szCs w:val="20"/>
              </w:rPr>
            </w:pPr>
            <w:r w:rsidRPr="008E0301">
              <w:rPr>
                <w:sz w:val="20"/>
                <w:szCs w:val="20"/>
              </w:rPr>
              <w:t>Independent television services</w:t>
            </w:r>
          </w:p>
        </w:tc>
        <w:tc>
          <w:tcPr>
            <w:tcW w:w="3931" w:type="dxa"/>
          </w:tcPr>
          <w:p w14:paraId="58AAC8B4" w14:textId="0CE06828" w:rsidR="00E14F43" w:rsidRPr="008E0301" w:rsidRDefault="00E14F43" w:rsidP="00E14F43">
            <w:pPr>
              <w:pStyle w:val="Table"/>
              <w:ind w:left="0"/>
              <w:rPr>
                <w:sz w:val="20"/>
                <w:szCs w:val="20"/>
              </w:rPr>
            </w:pPr>
            <w:r w:rsidRPr="008E0301">
              <w:rPr>
                <w:sz w:val="20"/>
                <w:szCs w:val="20"/>
              </w:rPr>
              <w:t>2018-478:</w:t>
            </w:r>
          </w:p>
          <w:p w14:paraId="18574F3D" w14:textId="77777777" w:rsidR="00E14F43" w:rsidRPr="008E0301" w:rsidRDefault="00E14F43" w:rsidP="00E14F43">
            <w:pPr>
              <w:pStyle w:val="Table"/>
              <w:ind w:left="0"/>
              <w:rPr>
                <w:sz w:val="20"/>
                <w:szCs w:val="20"/>
              </w:rPr>
            </w:pPr>
            <w:r w:rsidRPr="008E0301">
              <w:rPr>
                <w:sz w:val="20"/>
                <w:szCs w:val="20"/>
              </w:rPr>
              <w:t>Thunder Bay Electronics</w:t>
            </w:r>
          </w:p>
          <w:p w14:paraId="690FF959" w14:textId="77777777" w:rsidR="00E14F43" w:rsidRPr="008E0301" w:rsidRDefault="00E14F43" w:rsidP="00E14F43">
            <w:pPr>
              <w:pStyle w:val="Table"/>
              <w:ind w:left="0"/>
              <w:rPr>
                <w:sz w:val="20"/>
                <w:szCs w:val="20"/>
              </w:rPr>
            </w:pPr>
            <w:r w:rsidRPr="008E0301">
              <w:rPr>
                <w:sz w:val="20"/>
                <w:szCs w:val="20"/>
              </w:rPr>
              <w:t>Newfoundland Broadcasting</w:t>
            </w:r>
          </w:p>
          <w:p w14:paraId="7ABB4816" w14:textId="77777777" w:rsidR="00E14F43" w:rsidRPr="008E0301" w:rsidRDefault="00E14F43" w:rsidP="00E14F43">
            <w:pPr>
              <w:pStyle w:val="Table"/>
              <w:ind w:left="0"/>
              <w:rPr>
                <w:sz w:val="20"/>
                <w:szCs w:val="20"/>
              </w:rPr>
            </w:pPr>
            <w:r w:rsidRPr="008E0301">
              <w:rPr>
                <w:sz w:val="20"/>
                <w:szCs w:val="20"/>
              </w:rPr>
              <w:t>2190015 Ontario Inc.</w:t>
            </w:r>
          </w:p>
          <w:p w14:paraId="7A27E294" w14:textId="77777777" w:rsidR="00E14F43" w:rsidRPr="008E0301" w:rsidRDefault="00E14F43" w:rsidP="00E14F43">
            <w:pPr>
              <w:pStyle w:val="Table"/>
              <w:ind w:left="0"/>
              <w:rPr>
                <w:sz w:val="20"/>
                <w:szCs w:val="20"/>
              </w:rPr>
            </w:pPr>
            <w:r w:rsidRPr="008E0301">
              <w:rPr>
                <w:sz w:val="20"/>
                <w:szCs w:val="20"/>
              </w:rPr>
              <w:t>0859291 B.C. Ltd.</w:t>
            </w:r>
          </w:p>
          <w:p w14:paraId="0D31892D" w14:textId="7CB99856" w:rsidR="00E14F43" w:rsidRPr="008E0301" w:rsidRDefault="00E14F43" w:rsidP="00E14F43">
            <w:pPr>
              <w:pStyle w:val="Table"/>
              <w:ind w:left="0"/>
              <w:rPr>
                <w:sz w:val="20"/>
                <w:szCs w:val="20"/>
              </w:rPr>
            </w:pPr>
            <w:r w:rsidRPr="008E0301">
              <w:rPr>
                <w:sz w:val="20"/>
                <w:szCs w:val="20"/>
              </w:rPr>
              <w:t>Jim Pattison Broadcast Group</w:t>
            </w:r>
          </w:p>
        </w:tc>
        <w:tc>
          <w:tcPr>
            <w:tcW w:w="2430" w:type="dxa"/>
          </w:tcPr>
          <w:p w14:paraId="40684BE1" w14:textId="2A4CFC31" w:rsidR="00E14F43" w:rsidRPr="008E0301" w:rsidRDefault="00E14F43" w:rsidP="00E14F43">
            <w:pPr>
              <w:pStyle w:val="Table"/>
              <w:ind w:left="0"/>
              <w:rPr>
                <w:sz w:val="20"/>
                <w:szCs w:val="20"/>
              </w:rPr>
            </w:pPr>
            <w:r w:rsidRPr="008E0301">
              <w:rPr>
                <w:sz w:val="20"/>
                <w:szCs w:val="20"/>
              </w:rPr>
              <w:t>31 August 2023</w:t>
            </w:r>
          </w:p>
        </w:tc>
      </w:tr>
      <w:tr w:rsidR="00E14F43" w:rsidRPr="008E0301" w14:paraId="29344600" w14:textId="77777777" w:rsidTr="000D22AB">
        <w:tc>
          <w:tcPr>
            <w:tcW w:w="3088" w:type="dxa"/>
            <w:vMerge w:val="restart"/>
          </w:tcPr>
          <w:p w14:paraId="50FF6152" w14:textId="67382029" w:rsidR="00E14F43" w:rsidRPr="008E0301" w:rsidRDefault="00E14F43" w:rsidP="00E14F43">
            <w:pPr>
              <w:pStyle w:val="Table"/>
              <w:ind w:left="0"/>
              <w:rPr>
                <w:sz w:val="20"/>
                <w:szCs w:val="20"/>
              </w:rPr>
            </w:pPr>
            <w:r w:rsidRPr="008E0301">
              <w:rPr>
                <w:sz w:val="20"/>
                <w:szCs w:val="20"/>
              </w:rPr>
              <w:t>Large radio ownership groups</w:t>
            </w:r>
          </w:p>
        </w:tc>
        <w:tc>
          <w:tcPr>
            <w:tcW w:w="3931" w:type="dxa"/>
          </w:tcPr>
          <w:p w14:paraId="7045547D" w14:textId="6FC100EB" w:rsidR="00E14F43" w:rsidRPr="008E0301" w:rsidRDefault="00E14F43" w:rsidP="00E14F43">
            <w:pPr>
              <w:pStyle w:val="Table"/>
              <w:ind w:left="0"/>
              <w:rPr>
                <w:sz w:val="20"/>
                <w:szCs w:val="20"/>
              </w:rPr>
            </w:pPr>
            <w:r w:rsidRPr="008E0301">
              <w:rPr>
                <w:sz w:val="20"/>
                <w:szCs w:val="20"/>
              </w:rPr>
              <w:t>Golden West (2017-211 – 4 stations)</w:t>
            </w:r>
          </w:p>
        </w:tc>
        <w:tc>
          <w:tcPr>
            <w:tcW w:w="2430" w:type="dxa"/>
          </w:tcPr>
          <w:p w14:paraId="2EC7271D" w14:textId="2F7DE1B0" w:rsidR="00E14F43" w:rsidRPr="008E0301" w:rsidRDefault="00E14F43" w:rsidP="00E14F43">
            <w:pPr>
              <w:pStyle w:val="Table"/>
              <w:ind w:left="0"/>
              <w:rPr>
                <w:sz w:val="20"/>
                <w:szCs w:val="20"/>
              </w:rPr>
            </w:pPr>
            <w:r w:rsidRPr="008E0301">
              <w:rPr>
                <w:sz w:val="20"/>
                <w:szCs w:val="20"/>
              </w:rPr>
              <w:t>31 August 2024</w:t>
            </w:r>
          </w:p>
        </w:tc>
      </w:tr>
      <w:tr w:rsidR="00E14F43" w:rsidRPr="008E0301" w14:paraId="09D8EDB0" w14:textId="77777777" w:rsidTr="000D22AB">
        <w:tc>
          <w:tcPr>
            <w:tcW w:w="3088" w:type="dxa"/>
            <w:vMerge/>
          </w:tcPr>
          <w:p w14:paraId="434DF313" w14:textId="77777777" w:rsidR="00E14F43" w:rsidRPr="008E0301" w:rsidRDefault="00E14F43" w:rsidP="00E14F43">
            <w:pPr>
              <w:pStyle w:val="Table"/>
              <w:ind w:left="0"/>
              <w:rPr>
                <w:sz w:val="20"/>
                <w:szCs w:val="20"/>
              </w:rPr>
            </w:pPr>
          </w:p>
        </w:tc>
        <w:tc>
          <w:tcPr>
            <w:tcW w:w="3931" w:type="dxa"/>
          </w:tcPr>
          <w:p w14:paraId="20730189" w14:textId="13927158" w:rsidR="00E14F43" w:rsidRPr="008E0301" w:rsidRDefault="00E14F43" w:rsidP="00E14F43">
            <w:pPr>
              <w:pStyle w:val="Table"/>
              <w:ind w:left="0"/>
              <w:rPr>
                <w:sz w:val="20"/>
                <w:szCs w:val="20"/>
              </w:rPr>
            </w:pPr>
            <w:r w:rsidRPr="008E0301">
              <w:rPr>
                <w:sz w:val="20"/>
                <w:szCs w:val="20"/>
              </w:rPr>
              <w:t>Golden West (2019-211 – 6 stations)</w:t>
            </w:r>
          </w:p>
        </w:tc>
        <w:tc>
          <w:tcPr>
            <w:tcW w:w="2430" w:type="dxa"/>
          </w:tcPr>
          <w:p w14:paraId="770EB23E" w14:textId="7412FD8E" w:rsidR="00E14F43" w:rsidRPr="008E0301" w:rsidRDefault="00E14F43" w:rsidP="00E14F43">
            <w:pPr>
              <w:pStyle w:val="Table"/>
              <w:ind w:left="0"/>
              <w:rPr>
                <w:sz w:val="20"/>
                <w:szCs w:val="20"/>
              </w:rPr>
            </w:pPr>
            <w:r w:rsidRPr="008E0301">
              <w:rPr>
                <w:sz w:val="20"/>
                <w:szCs w:val="20"/>
              </w:rPr>
              <w:t>31 August 2025</w:t>
            </w:r>
          </w:p>
        </w:tc>
      </w:tr>
      <w:tr w:rsidR="00E14F43" w:rsidRPr="008E0301" w14:paraId="6013326E" w14:textId="77777777" w:rsidTr="000D22AB">
        <w:tc>
          <w:tcPr>
            <w:tcW w:w="3088" w:type="dxa"/>
            <w:vMerge/>
          </w:tcPr>
          <w:p w14:paraId="0E2172EE" w14:textId="3F66D64D" w:rsidR="00E14F43" w:rsidRPr="008E0301" w:rsidRDefault="00E14F43" w:rsidP="00E14F43">
            <w:pPr>
              <w:pStyle w:val="Table"/>
              <w:ind w:left="0"/>
              <w:rPr>
                <w:sz w:val="20"/>
                <w:szCs w:val="20"/>
              </w:rPr>
            </w:pPr>
          </w:p>
        </w:tc>
        <w:tc>
          <w:tcPr>
            <w:tcW w:w="3931" w:type="dxa"/>
          </w:tcPr>
          <w:p w14:paraId="3EC2E748" w14:textId="77777777" w:rsidR="00E14F43" w:rsidRPr="008E0301" w:rsidRDefault="00E14F43" w:rsidP="00E14F43">
            <w:pPr>
              <w:pStyle w:val="Table"/>
              <w:ind w:left="0"/>
              <w:rPr>
                <w:sz w:val="20"/>
                <w:szCs w:val="20"/>
              </w:rPr>
            </w:pPr>
            <w:r w:rsidRPr="008E0301">
              <w:rPr>
                <w:sz w:val="20"/>
                <w:szCs w:val="20"/>
              </w:rPr>
              <w:t>Rogers (2020-164 – 16 stations)</w:t>
            </w:r>
          </w:p>
          <w:p w14:paraId="72788C9B" w14:textId="77777777" w:rsidR="00E14F43" w:rsidRPr="008E0301" w:rsidRDefault="00E14F43" w:rsidP="00E14F43">
            <w:pPr>
              <w:pStyle w:val="Table"/>
              <w:ind w:left="0"/>
              <w:rPr>
                <w:sz w:val="20"/>
                <w:szCs w:val="20"/>
              </w:rPr>
            </w:pPr>
            <w:r w:rsidRPr="008E0301">
              <w:rPr>
                <w:sz w:val="20"/>
                <w:szCs w:val="20"/>
              </w:rPr>
              <w:t>Pattison (2020-161 – 9 stations)</w:t>
            </w:r>
          </w:p>
          <w:p w14:paraId="3442DB0B" w14:textId="080B8595" w:rsidR="00E14F43" w:rsidRPr="008E0301" w:rsidRDefault="00E14F43" w:rsidP="00E14F43">
            <w:pPr>
              <w:pStyle w:val="Table"/>
              <w:ind w:left="0"/>
              <w:rPr>
                <w:sz w:val="20"/>
                <w:szCs w:val="20"/>
              </w:rPr>
            </w:pPr>
            <w:r w:rsidRPr="008E0301">
              <w:rPr>
                <w:sz w:val="20"/>
                <w:szCs w:val="20"/>
              </w:rPr>
              <w:t>Golden West (2020-138 – 5 stations)</w:t>
            </w:r>
          </w:p>
        </w:tc>
        <w:tc>
          <w:tcPr>
            <w:tcW w:w="2430" w:type="dxa"/>
          </w:tcPr>
          <w:p w14:paraId="03DA12E3" w14:textId="333D0DAB" w:rsidR="00E14F43" w:rsidRPr="008E0301" w:rsidRDefault="00E14F43" w:rsidP="00E14F43">
            <w:pPr>
              <w:pStyle w:val="Table"/>
              <w:ind w:left="0"/>
              <w:rPr>
                <w:sz w:val="20"/>
                <w:szCs w:val="20"/>
              </w:rPr>
            </w:pPr>
            <w:r w:rsidRPr="008E0301">
              <w:rPr>
                <w:sz w:val="20"/>
                <w:szCs w:val="20"/>
              </w:rPr>
              <w:t>31 August 2027</w:t>
            </w:r>
          </w:p>
        </w:tc>
      </w:tr>
    </w:tbl>
    <w:p w14:paraId="0C2AC355" w14:textId="77777777" w:rsidR="00D652EA" w:rsidRDefault="00D652EA" w:rsidP="00D652EA">
      <w:pPr>
        <w:pStyle w:val="Table"/>
      </w:pPr>
    </w:p>
    <w:p w14:paraId="53FB7EE5" w14:textId="77777777" w:rsidR="00EB55E1" w:rsidRPr="00837AB1" w:rsidRDefault="00EB55E1" w:rsidP="00837AB1">
      <w:pPr>
        <w:pStyle w:val="FRPCintPara"/>
        <w:sectPr w:rsidR="00EB55E1" w:rsidRPr="00837AB1" w:rsidSect="00622849">
          <w:endnotePr>
            <w:numFmt w:val="decimal"/>
          </w:endnotePr>
          <w:pgSz w:w="12240" w:h="15840"/>
          <w:pgMar w:top="1350" w:right="1440" w:bottom="1350" w:left="1440" w:header="540" w:footer="708" w:gutter="0"/>
          <w:pgNumType w:start="1"/>
          <w:cols w:space="708"/>
          <w:docGrid w:linePitch="360"/>
        </w:sectPr>
      </w:pPr>
    </w:p>
    <w:p w14:paraId="098EAD0C" w14:textId="5C00CF60" w:rsidR="008B5690" w:rsidRPr="00837AB1" w:rsidRDefault="008B5690" w:rsidP="00837AB1">
      <w:pPr>
        <w:pStyle w:val="Heading1"/>
        <w:numPr>
          <w:ilvl w:val="0"/>
          <w:numId w:val="0"/>
        </w:numPr>
        <w:rPr>
          <w:rFonts w:asciiTheme="minorHAnsi" w:hAnsiTheme="minorHAnsi" w:cstheme="minorHAnsi"/>
          <w:sz w:val="22"/>
          <w:szCs w:val="22"/>
        </w:rPr>
      </w:pPr>
      <w:bookmarkStart w:id="44" w:name="_Toc54021174"/>
      <w:r>
        <w:rPr>
          <w:rFonts w:asciiTheme="minorHAnsi" w:hAnsiTheme="minorHAnsi" w:cstheme="minorHAnsi"/>
          <w:sz w:val="22"/>
          <w:szCs w:val="22"/>
        </w:rPr>
        <w:lastRenderedPageBreak/>
        <w:t>Appendices</w:t>
      </w:r>
      <w:bookmarkEnd w:id="44"/>
    </w:p>
    <w:p w14:paraId="47067632" w14:textId="63C417EB" w:rsidR="006024C4" w:rsidRDefault="00B71251">
      <w:pPr>
        <w:pStyle w:val="TableofFigures"/>
        <w:rPr>
          <w:rFonts w:eastAsiaTheme="minorEastAsia" w:cstheme="minorBidi"/>
        </w:rPr>
      </w:pPr>
      <w:r>
        <w:fldChar w:fldCharType="begin"/>
      </w:r>
      <w:r>
        <w:instrText xml:space="preserve"> TOC \h \z \c "Appendix" </w:instrText>
      </w:r>
      <w:r>
        <w:fldChar w:fldCharType="separate"/>
      </w:r>
      <w:hyperlink w:anchor="_Toc54006640" w:history="1">
        <w:r w:rsidR="006024C4" w:rsidRPr="005A3D07">
          <w:rPr>
            <w:rStyle w:val="Hyperlink"/>
          </w:rPr>
          <w:t>Appendix 1</w:t>
        </w:r>
        <w:r w:rsidR="006024C4">
          <w:rPr>
            <w:rFonts w:eastAsiaTheme="minorEastAsia" w:cstheme="minorBidi"/>
          </w:rPr>
          <w:tab/>
        </w:r>
        <w:r w:rsidR="006024C4" w:rsidRPr="005A3D07">
          <w:rPr>
            <w:rStyle w:val="Hyperlink"/>
          </w:rPr>
          <w:t>Relationship between private radio advertising revenues and GDP</w:t>
        </w:r>
        <w:r w:rsidR="006024C4">
          <w:rPr>
            <w:webHidden/>
          </w:rPr>
          <w:tab/>
        </w:r>
        <w:r w:rsidR="006024C4">
          <w:rPr>
            <w:webHidden/>
          </w:rPr>
          <w:fldChar w:fldCharType="begin"/>
        </w:r>
        <w:r w:rsidR="006024C4">
          <w:rPr>
            <w:webHidden/>
          </w:rPr>
          <w:instrText xml:space="preserve"> PAGEREF _Toc54006640 \h </w:instrText>
        </w:r>
        <w:r w:rsidR="006024C4">
          <w:rPr>
            <w:webHidden/>
          </w:rPr>
        </w:r>
        <w:r w:rsidR="006024C4">
          <w:rPr>
            <w:webHidden/>
          </w:rPr>
          <w:fldChar w:fldCharType="separate"/>
        </w:r>
        <w:r w:rsidR="00A74C32">
          <w:rPr>
            <w:webHidden/>
          </w:rPr>
          <w:t>1</w:t>
        </w:r>
        <w:r w:rsidR="006024C4">
          <w:rPr>
            <w:webHidden/>
          </w:rPr>
          <w:fldChar w:fldCharType="end"/>
        </w:r>
      </w:hyperlink>
    </w:p>
    <w:p w14:paraId="5DF137E0" w14:textId="654F13C1" w:rsidR="006024C4" w:rsidRDefault="00A74C32">
      <w:pPr>
        <w:pStyle w:val="TableofFigures"/>
        <w:rPr>
          <w:rFonts w:eastAsiaTheme="minorEastAsia" w:cstheme="minorBidi"/>
        </w:rPr>
      </w:pPr>
      <w:hyperlink w:anchor="_Toc54006641" w:history="1">
        <w:r w:rsidR="006024C4" w:rsidRPr="005A3D07">
          <w:rPr>
            <w:rStyle w:val="Hyperlink"/>
          </w:rPr>
          <w:t>Appendix 2</w:t>
        </w:r>
        <w:r w:rsidR="006024C4">
          <w:rPr>
            <w:rFonts w:eastAsiaTheme="minorEastAsia" w:cstheme="minorBidi"/>
          </w:rPr>
          <w:tab/>
        </w:r>
        <w:r w:rsidR="006024C4" w:rsidRPr="005A3D07">
          <w:rPr>
            <w:rStyle w:val="Hyperlink"/>
          </w:rPr>
          <w:t>Relationship between private TV advertising revenues and GDP</w:t>
        </w:r>
        <w:r w:rsidR="006024C4">
          <w:rPr>
            <w:webHidden/>
          </w:rPr>
          <w:tab/>
        </w:r>
        <w:r w:rsidR="006024C4">
          <w:rPr>
            <w:webHidden/>
          </w:rPr>
          <w:fldChar w:fldCharType="begin"/>
        </w:r>
        <w:r w:rsidR="006024C4">
          <w:rPr>
            <w:webHidden/>
          </w:rPr>
          <w:instrText xml:space="preserve"> PAGEREF _Toc54006641 \h </w:instrText>
        </w:r>
        <w:r w:rsidR="006024C4">
          <w:rPr>
            <w:webHidden/>
          </w:rPr>
        </w:r>
        <w:r w:rsidR="006024C4">
          <w:rPr>
            <w:webHidden/>
          </w:rPr>
          <w:fldChar w:fldCharType="separate"/>
        </w:r>
        <w:r>
          <w:rPr>
            <w:webHidden/>
          </w:rPr>
          <w:t>2</w:t>
        </w:r>
        <w:r w:rsidR="006024C4">
          <w:rPr>
            <w:webHidden/>
          </w:rPr>
          <w:fldChar w:fldCharType="end"/>
        </w:r>
      </w:hyperlink>
    </w:p>
    <w:p w14:paraId="09F972CE" w14:textId="4A98662F" w:rsidR="006024C4" w:rsidRDefault="00A74C32">
      <w:pPr>
        <w:pStyle w:val="TableofFigures"/>
        <w:rPr>
          <w:rFonts w:eastAsiaTheme="minorEastAsia" w:cstheme="minorBidi"/>
        </w:rPr>
      </w:pPr>
      <w:hyperlink w:anchor="_Toc54006642" w:history="1">
        <w:r w:rsidR="006024C4" w:rsidRPr="005A3D07">
          <w:rPr>
            <w:rStyle w:val="Hyperlink"/>
          </w:rPr>
          <w:t>Appendix 3</w:t>
        </w:r>
        <w:r w:rsidR="006024C4">
          <w:rPr>
            <w:rFonts w:eastAsiaTheme="minorEastAsia" w:cstheme="minorBidi"/>
          </w:rPr>
          <w:tab/>
        </w:r>
        <w:r w:rsidR="006024C4" w:rsidRPr="005A3D07">
          <w:rPr>
            <w:rStyle w:val="Hyperlink"/>
          </w:rPr>
          <w:t>Estimated impact of decreased private radio and television advertising (2019/20)</w:t>
        </w:r>
        <w:r w:rsidR="006024C4">
          <w:rPr>
            <w:webHidden/>
          </w:rPr>
          <w:tab/>
        </w:r>
        <w:r w:rsidR="006024C4">
          <w:rPr>
            <w:webHidden/>
          </w:rPr>
          <w:fldChar w:fldCharType="begin"/>
        </w:r>
        <w:r w:rsidR="006024C4">
          <w:rPr>
            <w:webHidden/>
          </w:rPr>
          <w:instrText xml:space="preserve"> PAGEREF _Toc54006642 \h </w:instrText>
        </w:r>
        <w:r w:rsidR="006024C4">
          <w:rPr>
            <w:webHidden/>
          </w:rPr>
        </w:r>
        <w:r w:rsidR="006024C4">
          <w:rPr>
            <w:webHidden/>
          </w:rPr>
          <w:fldChar w:fldCharType="separate"/>
        </w:r>
        <w:r>
          <w:rPr>
            <w:webHidden/>
          </w:rPr>
          <w:t>3</w:t>
        </w:r>
        <w:r w:rsidR="006024C4">
          <w:rPr>
            <w:webHidden/>
          </w:rPr>
          <w:fldChar w:fldCharType="end"/>
        </w:r>
      </w:hyperlink>
    </w:p>
    <w:p w14:paraId="41B607ED" w14:textId="1654345F" w:rsidR="006024C4" w:rsidRDefault="00A74C32" w:rsidP="006024C4">
      <w:pPr>
        <w:pStyle w:val="TableofFigures"/>
        <w:ind w:left="1620" w:hanging="1620"/>
        <w:rPr>
          <w:rFonts w:eastAsiaTheme="minorEastAsia" w:cstheme="minorBidi"/>
        </w:rPr>
      </w:pPr>
      <w:hyperlink w:anchor="_Toc54006643" w:history="1">
        <w:r w:rsidR="006024C4" w:rsidRPr="005A3D07">
          <w:rPr>
            <w:rStyle w:val="Hyperlink"/>
          </w:rPr>
          <w:t>Appendix 4</w:t>
        </w:r>
        <w:r w:rsidR="006024C4">
          <w:rPr>
            <w:rFonts w:eastAsiaTheme="minorEastAsia" w:cstheme="minorBidi"/>
          </w:rPr>
          <w:tab/>
        </w:r>
        <w:r w:rsidR="006024C4" w:rsidRPr="005A3D07">
          <w:rPr>
            <w:rStyle w:val="Hyperlink"/>
          </w:rPr>
          <w:t>Private conventional TV expenditures on Canadian and non-Canadian programming, 1993-2019</w:t>
        </w:r>
        <w:r w:rsidR="006024C4">
          <w:rPr>
            <w:webHidden/>
          </w:rPr>
          <w:tab/>
        </w:r>
        <w:r w:rsidR="006024C4">
          <w:rPr>
            <w:webHidden/>
          </w:rPr>
          <w:fldChar w:fldCharType="begin"/>
        </w:r>
        <w:r w:rsidR="006024C4">
          <w:rPr>
            <w:webHidden/>
          </w:rPr>
          <w:instrText xml:space="preserve"> PAGEREF _Toc54006643 \h </w:instrText>
        </w:r>
        <w:r w:rsidR="006024C4">
          <w:rPr>
            <w:webHidden/>
          </w:rPr>
        </w:r>
        <w:r w:rsidR="006024C4">
          <w:rPr>
            <w:webHidden/>
          </w:rPr>
          <w:fldChar w:fldCharType="separate"/>
        </w:r>
        <w:r>
          <w:rPr>
            <w:webHidden/>
          </w:rPr>
          <w:t>4</w:t>
        </w:r>
        <w:r w:rsidR="006024C4">
          <w:rPr>
            <w:webHidden/>
          </w:rPr>
          <w:fldChar w:fldCharType="end"/>
        </w:r>
      </w:hyperlink>
    </w:p>
    <w:p w14:paraId="7F5AE6AF" w14:textId="70C5B04A" w:rsidR="006024C4" w:rsidRDefault="00A74C32">
      <w:pPr>
        <w:pStyle w:val="TableofFigures"/>
        <w:rPr>
          <w:rFonts w:eastAsiaTheme="minorEastAsia" w:cstheme="minorBidi"/>
        </w:rPr>
      </w:pPr>
      <w:hyperlink w:anchor="_Toc54006644" w:history="1">
        <w:r w:rsidR="006024C4" w:rsidRPr="005A3D07">
          <w:rPr>
            <w:rStyle w:val="Hyperlink"/>
          </w:rPr>
          <w:t>Appendix 5</w:t>
        </w:r>
        <w:r w:rsidR="006024C4">
          <w:rPr>
            <w:rFonts w:eastAsiaTheme="minorEastAsia" w:cstheme="minorBidi"/>
          </w:rPr>
          <w:tab/>
        </w:r>
        <w:r w:rsidR="006024C4" w:rsidRPr="005A3D07">
          <w:rPr>
            <w:rStyle w:val="Hyperlink"/>
          </w:rPr>
          <w:t>Employment in Canada’s regulated broadcast sector, 2000-2019</w:t>
        </w:r>
        <w:r w:rsidR="006024C4">
          <w:rPr>
            <w:webHidden/>
          </w:rPr>
          <w:tab/>
        </w:r>
        <w:r w:rsidR="006024C4">
          <w:rPr>
            <w:webHidden/>
          </w:rPr>
          <w:fldChar w:fldCharType="begin"/>
        </w:r>
        <w:r w:rsidR="006024C4">
          <w:rPr>
            <w:webHidden/>
          </w:rPr>
          <w:instrText xml:space="preserve"> PAGEREF _Toc54006644 \h </w:instrText>
        </w:r>
        <w:r w:rsidR="006024C4">
          <w:rPr>
            <w:webHidden/>
          </w:rPr>
        </w:r>
        <w:r w:rsidR="006024C4">
          <w:rPr>
            <w:webHidden/>
          </w:rPr>
          <w:fldChar w:fldCharType="separate"/>
        </w:r>
        <w:r>
          <w:rPr>
            <w:webHidden/>
          </w:rPr>
          <w:t>5</w:t>
        </w:r>
        <w:r w:rsidR="006024C4">
          <w:rPr>
            <w:webHidden/>
          </w:rPr>
          <w:fldChar w:fldCharType="end"/>
        </w:r>
      </w:hyperlink>
    </w:p>
    <w:p w14:paraId="5D50D4BD" w14:textId="50C9D21F" w:rsidR="006024C4" w:rsidRDefault="00A74C32">
      <w:pPr>
        <w:pStyle w:val="TableofFigures"/>
        <w:rPr>
          <w:rFonts w:eastAsiaTheme="minorEastAsia" w:cstheme="minorBidi"/>
        </w:rPr>
      </w:pPr>
      <w:hyperlink w:anchor="_Toc54006645" w:history="1">
        <w:r w:rsidR="006024C4" w:rsidRPr="005A3D07">
          <w:rPr>
            <w:rStyle w:val="Hyperlink"/>
          </w:rPr>
          <w:t>Appendix 6</w:t>
        </w:r>
        <w:r w:rsidR="006024C4">
          <w:rPr>
            <w:rFonts w:eastAsiaTheme="minorEastAsia" w:cstheme="minorBidi"/>
          </w:rPr>
          <w:tab/>
        </w:r>
        <w:r w:rsidR="006024C4" w:rsidRPr="005A3D07">
          <w:rPr>
            <w:rStyle w:val="Hyperlink"/>
          </w:rPr>
          <w:t>CRTC regulatory flexibility and private conventional TV revenues, 1968-2019</w:t>
        </w:r>
        <w:r w:rsidR="006024C4">
          <w:rPr>
            <w:webHidden/>
          </w:rPr>
          <w:tab/>
        </w:r>
        <w:r w:rsidR="006024C4">
          <w:rPr>
            <w:webHidden/>
          </w:rPr>
          <w:fldChar w:fldCharType="begin"/>
        </w:r>
        <w:r w:rsidR="006024C4">
          <w:rPr>
            <w:webHidden/>
          </w:rPr>
          <w:instrText xml:space="preserve"> PAGEREF _Toc54006645 \h </w:instrText>
        </w:r>
        <w:r w:rsidR="006024C4">
          <w:rPr>
            <w:webHidden/>
          </w:rPr>
        </w:r>
        <w:r w:rsidR="006024C4">
          <w:rPr>
            <w:webHidden/>
          </w:rPr>
          <w:fldChar w:fldCharType="separate"/>
        </w:r>
        <w:r>
          <w:rPr>
            <w:webHidden/>
          </w:rPr>
          <w:t>6</w:t>
        </w:r>
        <w:r w:rsidR="006024C4">
          <w:rPr>
            <w:webHidden/>
          </w:rPr>
          <w:fldChar w:fldCharType="end"/>
        </w:r>
      </w:hyperlink>
    </w:p>
    <w:p w14:paraId="00FE3898" w14:textId="28EA97E8" w:rsidR="006024C4" w:rsidRDefault="00A74C32">
      <w:pPr>
        <w:pStyle w:val="TableofFigures"/>
        <w:rPr>
          <w:rFonts w:eastAsiaTheme="minorEastAsia" w:cstheme="minorBidi"/>
        </w:rPr>
      </w:pPr>
      <w:hyperlink w:anchor="_Toc54006646" w:history="1">
        <w:r w:rsidR="006024C4" w:rsidRPr="005A3D07">
          <w:rPr>
            <w:rStyle w:val="Hyperlink"/>
          </w:rPr>
          <w:t>Appendix 7</w:t>
        </w:r>
        <w:r w:rsidR="006024C4">
          <w:rPr>
            <w:rFonts w:eastAsiaTheme="minorEastAsia" w:cstheme="minorBidi"/>
          </w:rPr>
          <w:tab/>
        </w:r>
        <w:r w:rsidR="006024C4" w:rsidRPr="005A3D07">
          <w:rPr>
            <w:rStyle w:val="Hyperlink"/>
          </w:rPr>
          <w:t>CAB website</w:t>
        </w:r>
        <w:r w:rsidR="006024C4">
          <w:rPr>
            <w:webHidden/>
          </w:rPr>
          <w:tab/>
        </w:r>
        <w:r w:rsidR="006024C4">
          <w:rPr>
            <w:webHidden/>
          </w:rPr>
          <w:fldChar w:fldCharType="begin"/>
        </w:r>
        <w:r w:rsidR="006024C4">
          <w:rPr>
            <w:webHidden/>
          </w:rPr>
          <w:instrText xml:space="preserve"> PAGEREF _Toc54006646 \h </w:instrText>
        </w:r>
        <w:r w:rsidR="006024C4">
          <w:rPr>
            <w:webHidden/>
          </w:rPr>
        </w:r>
        <w:r w:rsidR="006024C4">
          <w:rPr>
            <w:webHidden/>
          </w:rPr>
          <w:fldChar w:fldCharType="separate"/>
        </w:r>
        <w:r>
          <w:rPr>
            <w:webHidden/>
          </w:rPr>
          <w:t>7</w:t>
        </w:r>
        <w:r w:rsidR="006024C4">
          <w:rPr>
            <w:webHidden/>
          </w:rPr>
          <w:fldChar w:fldCharType="end"/>
        </w:r>
      </w:hyperlink>
    </w:p>
    <w:p w14:paraId="33CDE235" w14:textId="06F931E3" w:rsidR="006024C4" w:rsidRDefault="00A74C32">
      <w:pPr>
        <w:pStyle w:val="TableofFigures"/>
        <w:rPr>
          <w:rFonts w:eastAsiaTheme="minorEastAsia" w:cstheme="minorBidi"/>
        </w:rPr>
      </w:pPr>
      <w:hyperlink w:anchor="_Toc54006647" w:history="1">
        <w:r w:rsidR="006024C4" w:rsidRPr="005A3D07">
          <w:rPr>
            <w:rStyle w:val="Hyperlink"/>
          </w:rPr>
          <w:t>Appendix 8</w:t>
        </w:r>
        <w:r w:rsidR="006024C4">
          <w:rPr>
            <w:rFonts w:eastAsiaTheme="minorEastAsia" w:cstheme="minorBidi"/>
          </w:rPr>
          <w:tab/>
        </w:r>
        <w:r w:rsidR="006024C4" w:rsidRPr="005A3D07">
          <w:rPr>
            <w:rStyle w:val="Hyperlink"/>
          </w:rPr>
          <w:t>Private radio and television ownership groups, 2018</w:t>
        </w:r>
        <w:r w:rsidR="006024C4">
          <w:rPr>
            <w:webHidden/>
          </w:rPr>
          <w:tab/>
        </w:r>
        <w:r w:rsidR="006024C4">
          <w:rPr>
            <w:webHidden/>
          </w:rPr>
          <w:fldChar w:fldCharType="begin"/>
        </w:r>
        <w:r w:rsidR="006024C4">
          <w:rPr>
            <w:webHidden/>
          </w:rPr>
          <w:instrText xml:space="preserve"> PAGEREF _Toc54006647 \h </w:instrText>
        </w:r>
        <w:r w:rsidR="006024C4">
          <w:rPr>
            <w:webHidden/>
          </w:rPr>
        </w:r>
        <w:r w:rsidR="006024C4">
          <w:rPr>
            <w:webHidden/>
          </w:rPr>
          <w:fldChar w:fldCharType="separate"/>
        </w:r>
        <w:r>
          <w:rPr>
            <w:webHidden/>
          </w:rPr>
          <w:t>8</w:t>
        </w:r>
        <w:r w:rsidR="006024C4">
          <w:rPr>
            <w:webHidden/>
          </w:rPr>
          <w:fldChar w:fldCharType="end"/>
        </w:r>
      </w:hyperlink>
    </w:p>
    <w:p w14:paraId="7C6BCD90" w14:textId="6BC067E0" w:rsidR="006024C4" w:rsidRDefault="00A74C32">
      <w:pPr>
        <w:pStyle w:val="TableofFigures"/>
        <w:rPr>
          <w:rFonts w:eastAsiaTheme="minorEastAsia" w:cstheme="minorBidi"/>
        </w:rPr>
      </w:pPr>
      <w:hyperlink w:anchor="_Toc54006648" w:history="1">
        <w:r w:rsidR="006024C4" w:rsidRPr="005A3D07">
          <w:rPr>
            <w:rStyle w:val="Hyperlink"/>
          </w:rPr>
          <w:t>Appendix 9</w:t>
        </w:r>
        <w:r w:rsidR="006024C4">
          <w:rPr>
            <w:rFonts w:eastAsiaTheme="minorEastAsia" w:cstheme="minorBidi"/>
          </w:rPr>
          <w:tab/>
        </w:r>
        <w:r w:rsidR="006024C4" w:rsidRPr="005A3D07">
          <w:rPr>
            <w:rStyle w:val="Hyperlink"/>
          </w:rPr>
          <w:t>CCD and CPE expenditures</w:t>
        </w:r>
        <w:r w:rsidR="006024C4">
          <w:rPr>
            <w:webHidden/>
          </w:rPr>
          <w:tab/>
        </w:r>
        <w:r w:rsidR="006024C4">
          <w:rPr>
            <w:webHidden/>
          </w:rPr>
          <w:fldChar w:fldCharType="begin"/>
        </w:r>
        <w:r w:rsidR="006024C4">
          <w:rPr>
            <w:webHidden/>
          </w:rPr>
          <w:instrText xml:space="preserve"> PAGEREF _Toc54006648 \h </w:instrText>
        </w:r>
        <w:r w:rsidR="006024C4">
          <w:rPr>
            <w:webHidden/>
          </w:rPr>
        </w:r>
        <w:r w:rsidR="006024C4">
          <w:rPr>
            <w:webHidden/>
          </w:rPr>
          <w:fldChar w:fldCharType="separate"/>
        </w:r>
        <w:r>
          <w:rPr>
            <w:webHidden/>
          </w:rPr>
          <w:t>9</w:t>
        </w:r>
        <w:r w:rsidR="006024C4">
          <w:rPr>
            <w:webHidden/>
          </w:rPr>
          <w:fldChar w:fldCharType="end"/>
        </w:r>
      </w:hyperlink>
    </w:p>
    <w:p w14:paraId="4EBA0F80" w14:textId="62DAD515" w:rsidR="006024C4" w:rsidRDefault="00A74C32">
      <w:pPr>
        <w:pStyle w:val="TableofFigures"/>
        <w:rPr>
          <w:rFonts w:eastAsiaTheme="minorEastAsia" w:cstheme="minorBidi"/>
        </w:rPr>
      </w:pPr>
      <w:hyperlink w:anchor="_Toc54006649" w:history="1">
        <w:r w:rsidR="006024C4" w:rsidRPr="005A3D07">
          <w:rPr>
            <w:rStyle w:val="Hyperlink"/>
          </w:rPr>
          <w:t>Appendix 10</w:t>
        </w:r>
        <w:r w:rsidR="006024C4">
          <w:rPr>
            <w:rFonts w:eastAsiaTheme="minorEastAsia" w:cstheme="minorBidi"/>
          </w:rPr>
          <w:tab/>
        </w:r>
        <w:r w:rsidR="006024C4" w:rsidRPr="005A3D07">
          <w:rPr>
            <w:rStyle w:val="Hyperlink"/>
          </w:rPr>
          <w:t>Tables and figures in the CRTC’s Communications Monitoring Reports, 2008-2019</w:t>
        </w:r>
        <w:r w:rsidR="006024C4">
          <w:rPr>
            <w:webHidden/>
          </w:rPr>
          <w:tab/>
        </w:r>
        <w:r w:rsidR="006024C4">
          <w:rPr>
            <w:webHidden/>
          </w:rPr>
          <w:fldChar w:fldCharType="begin"/>
        </w:r>
        <w:r w:rsidR="006024C4">
          <w:rPr>
            <w:webHidden/>
          </w:rPr>
          <w:instrText xml:space="preserve"> PAGEREF _Toc54006649 \h </w:instrText>
        </w:r>
        <w:r w:rsidR="006024C4">
          <w:rPr>
            <w:webHidden/>
          </w:rPr>
        </w:r>
        <w:r w:rsidR="006024C4">
          <w:rPr>
            <w:webHidden/>
          </w:rPr>
          <w:fldChar w:fldCharType="separate"/>
        </w:r>
        <w:r>
          <w:rPr>
            <w:webHidden/>
          </w:rPr>
          <w:t>10</w:t>
        </w:r>
        <w:r w:rsidR="006024C4">
          <w:rPr>
            <w:webHidden/>
          </w:rPr>
          <w:fldChar w:fldCharType="end"/>
        </w:r>
      </w:hyperlink>
    </w:p>
    <w:p w14:paraId="52F17F3C" w14:textId="688A0560" w:rsidR="006024C4" w:rsidRDefault="00A74C32">
      <w:pPr>
        <w:pStyle w:val="TableofFigures"/>
        <w:rPr>
          <w:rFonts w:eastAsiaTheme="minorEastAsia" w:cstheme="minorBidi"/>
        </w:rPr>
      </w:pPr>
      <w:hyperlink w:anchor="_Toc54006650" w:history="1">
        <w:r w:rsidR="006024C4" w:rsidRPr="005A3D07">
          <w:rPr>
            <w:rStyle w:val="Hyperlink"/>
          </w:rPr>
          <w:t>Appendix 11</w:t>
        </w:r>
        <w:r w:rsidR="006024C4">
          <w:rPr>
            <w:rFonts w:eastAsiaTheme="minorEastAsia" w:cstheme="minorBidi"/>
          </w:rPr>
          <w:tab/>
        </w:r>
        <w:r w:rsidR="006024C4" w:rsidRPr="005A3D07">
          <w:rPr>
            <w:rStyle w:val="Hyperlink"/>
          </w:rPr>
          <w:t>FRPC’s answers to the CRTC’s questions</w:t>
        </w:r>
        <w:r w:rsidR="006024C4">
          <w:rPr>
            <w:webHidden/>
          </w:rPr>
          <w:tab/>
        </w:r>
        <w:r w:rsidR="006024C4">
          <w:rPr>
            <w:webHidden/>
          </w:rPr>
          <w:fldChar w:fldCharType="begin"/>
        </w:r>
        <w:r w:rsidR="006024C4">
          <w:rPr>
            <w:webHidden/>
          </w:rPr>
          <w:instrText xml:space="preserve"> PAGEREF _Toc54006650 \h </w:instrText>
        </w:r>
        <w:r w:rsidR="006024C4">
          <w:rPr>
            <w:webHidden/>
          </w:rPr>
        </w:r>
        <w:r w:rsidR="006024C4">
          <w:rPr>
            <w:webHidden/>
          </w:rPr>
          <w:fldChar w:fldCharType="separate"/>
        </w:r>
        <w:r>
          <w:rPr>
            <w:webHidden/>
          </w:rPr>
          <w:t>22</w:t>
        </w:r>
        <w:r w:rsidR="006024C4">
          <w:rPr>
            <w:webHidden/>
          </w:rPr>
          <w:fldChar w:fldCharType="end"/>
        </w:r>
      </w:hyperlink>
    </w:p>
    <w:p w14:paraId="7D97379B" w14:textId="15AB038E" w:rsidR="00B71251" w:rsidRDefault="00B71251" w:rsidP="008B5690">
      <w:pPr>
        <w:pStyle w:val="FRPCintPara"/>
        <w:numPr>
          <w:ilvl w:val="0"/>
          <w:numId w:val="0"/>
        </w:numPr>
        <w:ind w:left="720" w:hanging="720"/>
      </w:pPr>
      <w:r>
        <w:fldChar w:fldCharType="end"/>
      </w:r>
    </w:p>
    <w:p w14:paraId="7354EA83" w14:textId="41914880" w:rsidR="00B71251" w:rsidRDefault="00B71251" w:rsidP="008B5690">
      <w:pPr>
        <w:pStyle w:val="FRPCintPara"/>
        <w:numPr>
          <w:ilvl w:val="0"/>
          <w:numId w:val="0"/>
        </w:numPr>
        <w:ind w:left="720" w:hanging="720"/>
        <w:sectPr w:rsidR="00B71251" w:rsidSect="00EB7E64">
          <w:headerReference w:type="default" r:id="rId16"/>
          <w:pgSz w:w="12240" w:h="15840"/>
          <w:pgMar w:top="1440" w:right="1440" w:bottom="1440" w:left="1440" w:header="708" w:footer="708" w:gutter="0"/>
          <w:pgNumType w:start="1"/>
          <w:cols w:space="708"/>
          <w:docGrid w:linePitch="360"/>
        </w:sectPr>
      </w:pPr>
    </w:p>
    <w:p w14:paraId="1637AD9F" w14:textId="32A17276" w:rsidR="008B5690" w:rsidRDefault="008B5690" w:rsidP="008B5690">
      <w:pPr>
        <w:pStyle w:val="FRPCintPara"/>
        <w:numPr>
          <w:ilvl w:val="0"/>
          <w:numId w:val="0"/>
        </w:numPr>
        <w:ind w:left="720" w:hanging="720"/>
      </w:pPr>
    </w:p>
    <w:p w14:paraId="76B0DEEC" w14:textId="6835199B" w:rsidR="008B5690" w:rsidRDefault="008B5690" w:rsidP="008B5690">
      <w:pPr>
        <w:pStyle w:val="Caption"/>
      </w:pPr>
      <w:bookmarkStart w:id="45" w:name="_Ref53985456"/>
      <w:bookmarkStart w:id="46" w:name="_Toc54006640"/>
      <w:bookmarkStart w:id="47" w:name="_Toc54021143"/>
      <w:r>
        <w:t xml:space="preserve">Appendix </w:t>
      </w:r>
      <w:fldSimple w:instr=" SEQ Appendix \* ARABIC ">
        <w:r w:rsidR="00A74C32">
          <w:rPr>
            <w:noProof/>
          </w:rPr>
          <w:t>1</w:t>
        </w:r>
      </w:fldSimple>
      <w:bookmarkEnd w:id="45"/>
      <w:r>
        <w:tab/>
      </w:r>
      <w:r w:rsidR="00B71251">
        <w:t>Relationship between private radio advertising revenues and GDP</w:t>
      </w:r>
      <w:bookmarkEnd w:id="46"/>
      <w:bookmarkEnd w:id="47"/>
    </w:p>
    <w:p w14:paraId="6842E1B4" w14:textId="5A4B5360" w:rsidR="008B5690" w:rsidRDefault="008B5690" w:rsidP="008B5690">
      <w:pPr>
        <w:pStyle w:val="FRPCintPara"/>
        <w:numPr>
          <w:ilvl w:val="0"/>
          <w:numId w:val="0"/>
        </w:numPr>
        <w:ind w:left="720" w:hanging="720"/>
      </w:pPr>
      <w:r>
        <w:rPr>
          <w:noProof/>
        </w:rPr>
        <w:drawing>
          <wp:inline distT="0" distB="0" distL="0" distR="0" wp14:anchorId="7D2CBEDC" wp14:editId="0E0FACC9">
            <wp:extent cx="5765800" cy="4109304"/>
            <wp:effectExtent l="0" t="0" r="635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72025" cy="4113740"/>
                    </a:xfrm>
                    <a:prstGeom prst="rect">
                      <a:avLst/>
                    </a:prstGeom>
                    <a:noFill/>
                  </pic:spPr>
                </pic:pic>
              </a:graphicData>
            </a:graphic>
          </wp:inline>
        </w:drawing>
      </w:r>
    </w:p>
    <w:p w14:paraId="16CA6750" w14:textId="6DEA2EF1" w:rsidR="00B71251" w:rsidRDefault="00B71251">
      <w:pPr>
        <w:rPr>
          <w:rFonts w:ascii="Calibri" w:hAnsi="Calibri"/>
        </w:rPr>
      </w:pPr>
      <w:r>
        <w:br w:type="page"/>
      </w:r>
    </w:p>
    <w:p w14:paraId="4C17CD4F" w14:textId="4BC2035D" w:rsidR="00B71251" w:rsidRDefault="00B71251" w:rsidP="00B71251">
      <w:pPr>
        <w:pStyle w:val="Caption"/>
      </w:pPr>
      <w:bookmarkStart w:id="48" w:name="_Ref53985517"/>
      <w:bookmarkStart w:id="49" w:name="_Toc54006641"/>
      <w:bookmarkStart w:id="50" w:name="_Toc54021144"/>
      <w:r>
        <w:lastRenderedPageBreak/>
        <w:t xml:space="preserve">Appendix </w:t>
      </w:r>
      <w:fldSimple w:instr=" SEQ Appendix \* ARABIC ">
        <w:r w:rsidR="00A74C32">
          <w:rPr>
            <w:noProof/>
          </w:rPr>
          <w:t>2</w:t>
        </w:r>
      </w:fldSimple>
      <w:bookmarkEnd w:id="48"/>
      <w:r>
        <w:tab/>
        <w:t>Relationship between private TV advertising revenues and GDP</w:t>
      </w:r>
      <w:bookmarkEnd w:id="49"/>
      <w:bookmarkEnd w:id="50"/>
    </w:p>
    <w:p w14:paraId="38057313" w14:textId="385F7E67" w:rsidR="00B71251" w:rsidRDefault="00B71251" w:rsidP="008B5690">
      <w:pPr>
        <w:pStyle w:val="FRPCintPara"/>
        <w:numPr>
          <w:ilvl w:val="0"/>
          <w:numId w:val="0"/>
        </w:numPr>
        <w:ind w:left="720" w:hanging="720"/>
      </w:pPr>
      <w:r>
        <w:rPr>
          <w:noProof/>
        </w:rPr>
        <w:drawing>
          <wp:inline distT="0" distB="0" distL="0" distR="0" wp14:anchorId="52D2C21E" wp14:editId="4EEF2EE4">
            <wp:extent cx="5911850" cy="421792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23902" cy="4226521"/>
                    </a:xfrm>
                    <a:prstGeom prst="rect">
                      <a:avLst/>
                    </a:prstGeom>
                    <a:noFill/>
                  </pic:spPr>
                </pic:pic>
              </a:graphicData>
            </a:graphic>
          </wp:inline>
        </w:drawing>
      </w:r>
    </w:p>
    <w:p w14:paraId="4280F4BC" w14:textId="67AB80F4" w:rsidR="00B71251" w:rsidRDefault="00B71251">
      <w:pPr>
        <w:rPr>
          <w:rFonts w:ascii="Calibri" w:hAnsi="Calibri"/>
        </w:rPr>
      </w:pPr>
      <w:r>
        <w:br w:type="page"/>
      </w:r>
    </w:p>
    <w:p w14:paraId="397F083A" w14:textId="15A3AB6A" w:rsidR="00B71251" w:rsidRDefault="001C6D45" w:rsidP="001C6D45">
      <w:pPr>
        <w:pStyle w:val="Caption"/>
      </w:pPr>
      <w:bookmarkStart w:id="51" w:name="_Ref53985856"/>
      <w:bookmarkStart w:id="52" w:name="_Toc54006642"/>
      <w:bookmarkStart w:id="53" w:name="_Toc54021145"/>
      <w:r>
        <w:lastRenderedPageBreak/>
        <w:t xml:space="preserve">Appendix </w:t>
      </w:r>
      <w:fldSimple w:instr=" SEQ Appendix \* ARABIC ">
        <w:r w:rsidR="00A74C32">
          <w:rPr>
            <w:noProof/>
          </w:rPr>
          <w:t>3</w:t>
        </w:r>
      </w:fldSimple>
      <w:bookmarkEnd w:id="51"/>
      <w:r>
        <w:tab/>
        <w:t>Estimated impact of decreased private radio and television advertising (2019/20)</w:t>
      </w:r>
      <w:bookmarkEnd w:id="52"/>
      <w:bookmarkEnd w:id="53"/>
    </w:p>
    <w:tbl>
      <w:tblPr>
        <w:tblW w:w="10920" w:type="dxa"/>
        <w:tblInd w:w="-815" w:type="dxa"/>
        <w:tblLook w:val="04A0" w:firstRow="1" w:lastRow="0" w:firstColumn="1" w:lastColumn="0" w:noHBand="0" w:noVBand="1"/>
      </w:tblPr>
      <w:tblGrid>
        <w:gridCol w:w="2160"/>
        <w:gridCol w:w="1350"/>
        <w:gridCol w:w="1375"/>
        <w:gridCol w:w="1610"/>
        <w:gridCol w:w="1520"/>
        <w:gridCol w:w="1250"/>
        <w:gridCol w:w="1639"/>
        <w:gridCol w:w="16"/>
      </w:tblGrid>
      <w:tr w:rsidR="001C6D45" w:rsidRPr="0069793E" w14:paraId="2B38BD14" w14:textId="77777777" w:rsidTr="00F8518C">
        <w:trPr>
          <w:gridAfter w:val="1"/>
          <w:wAfter w:w="21" w:type="dxa"/>
          <w:trHeight w:val="290"/>
          <w:tblHeader/>
        </w:trPr>
        <w:tc>
          <w:tcPr>
            <w:tcW w:w="2160" w:type="dxa"/>
            <w:noWrap/>
            <w:hideMark/>
          </w:tcPr>
          <w:p w14:paraId="03F80146" w14:textId="77777777" w:rsidR="001C6D45" w:rsidRPr="0069793E" w:rsidRDefault="001C6D45" w:rsidP="00F8518C">
            <w:pPr>
              <w:pStyle w:val="Table"/>
              <w:rPr>
                <w:sz w:val="20"/>
                <w:szCs w:val="20"/>
              </w:rPr>
            </w:pPr>
          </w:p>
        </w:tc>
        <w:tc>
          <w:tcPr>
            <w:tcW w:w="1350" w:type="dxa"/>
            <w:noWrap/>
            <w:hideMark/>
          </w:tcPr>
          <w:p w14:paraId="5C559A1E" w14:textId="77777777" w:rsidR="001C6D45" w:rsidRPr="00A8103A" w:rsidRDefault="001C6D45" w:rsidP="00F8518C">
            <w:pPr>
              <w:pStyle w:val="Table"/>
              <w:jc w:val="center"/>
              <w:rPr>
                <w:b/>
                <w:bCs/>
                <w:sz w:val="20"/>
                <w:szCs w:val="20"/>
              </w:rPr>
            </w:pPr>
            <w:r w:rsidRPr="00A8103A">
              <w:rPr>
                <w:b/>
                <w:bCs/>
                <w:sz w:val="20"/>
                <w:szCs w:val="20"/>
              </w:rPr>
              <w:t>Private TV</w:t>
            </w:r>
          </w:p>
        </w:tc>
        <w:tc>
          <w:tcPr>
            <w:tcW w:w="1370" w:type="dxa"/>
            <w:noWrap/>
            <w:hideMark/>
          </w:tcPr>
          <w:p w14:paraId="5B0659DF" w14:textId="77777777" w:rsidR="001C6D45" w:rsidRPr="00A8103A" w:rsidRDefault="001C6D45" w:rsidP="00F8518C">
            <w:pPr>
              <w:pStyle w:val="Table"/>
              <w:jc w:val="center"/>
              <w:rPr>
                <w:b/>
                <w:bCs/>
                <w:sz w:val="20"/>
                <w:szCs w:val="20"/>
              </w:rPr>
            </w:pPr>
            <w:r w:rsidRPr="00A8103A">
              <w:rPr>
                <w:b/>
                <w:bCs/>
                <w:sz w:val="20"/>
                <w:szCs w:val="20"/>
              </w:rPr>
              <w:t>% change</w:t>
            </w:r>
          </w:p>
        </w:tc>
        <w:tc>
          <w:tcPr>
            <w:tcW w:w="1610" w:type="dxa"/>
            <w:noWrap/>
            <w:hideMark/>
          </w:tcPr>
          <w:p w14:paraId="1DB2AC36" w14:textId="77777777" w:rsidR="001C6D45" w:rsidRPr="00A8103A" w:rsidRDefault="001C6D45" w:rsidP="00F8518C">
            <w:pPr>
              <w:pStyle w:val="Table"/>
              <w:jc w:val="center"/>
              <w:rPr>
                <w:b/>
                <w:bCs/>
                <w:sz w:val="20"/>
                <w:szCs w:val="20"/>
              </w:rPr>
            </w:pPr>
            <w:r w:rsidRPr="00A8103A">
              <w:rPr>
                <w:b/>
                <w:bCs/>
                <w:sz w:val="20"/>
                <w:szCs w:val="20"/>
              </w:rPr>
              <w:t xml:space="preserve">Monthly </w:t>
            </w:r>
            <w:proofErr w:type="spellStart"/>
            <w:r w:rsidRPr="00A8103A">
              <w:rPr>
                <w:b/>
                <w:bCs/>
                <w:sz w:val="20"/>
                <w:szCs w:val="20"/>
              </w:rPr>
              <w:t>ad</w:t>
            </w:r>
            <w:r>
              <w:rPr>
                <w:b/>
                <w:bCs/>
                <w:sz w:val="20"/>
                <w:szCs w:val="20"/>
              </w:rPr>
              <w:t>’</w:t>
            </w:r>
            <w:r w:rsidRPr="00A8103A">
              <w:rPr>
                <w:b/>
                <w:bCs/>
                <w:sz w:val="20"/>
                <w:szCs w:val="20"/>
              </w:rPr>
              <w:t>g</w:t>
            </w:r>
            <w:proofErr w:type="spellEnd"/>
            <w:r w:rsidRPr="00A8103A">
              <w:rPr>
                <w:b/>
                <w:bCs/>
                <w:sz w:val="20"/>
                <w:szCs w:val="20"/>
              </w:rPr>
              <w:t xml:space="preserve"> revenue</w:t>
            </w:r>
          </w:p>
        </w:tc>
        <w:tc>
          <w:tcPr>
            <w:tcW w:w="1520" w:type="dxa"/>
            <w:noWrap/>
            <w:hideMark/>
          </w:tcPr>
          <w:p w14:paraId="6A85522E" w14:textId="77777777" w:rsidR="001C6D45" w:rsidRPr="00A8103A" w:rsidRDefault="001C6D45" w:rsidP="00F8518C">
            <w:pPr>
              <w:pStyle w:val="Table"/>
              <w:jc w:val="center"/>
              <w:rPr>
                <w:b/>
                <w:bCs/>
                <w:sz w:val="20"/>
                <w:szCs w:val="20"/>
              </w:rPr>
            </w:pPr>
            <w:r w:rsidRPr="00A8103A">
              <w:rPr>
                <w:b/>
                <w:bCs/>
                <w:sz w:val="20"/>
                <w:szCs w:val="20"/>
              </w:rPr>
              <w:t>Private radio</w:t>
            </w:r>
          </w:p>
        </w:tc>
        <w:tc>
          <w:tcPr>
            <w:tcW w:w="1250" w:type="dxa"/>
            <w:noWrap/>
            <w:hideMark/>
          </w:tcPr>
          <w:p w14:paraId="17AEA241" w14:textId="77777777" w:rsidR="001C6D45" w:rsidRPr="00A8103A" w:rsidRDefault="001C6D45" w:rsidP="00F8518C">
            <w:pPr>
              <w:pStyle w:val="Table"/>
              <w:jc w:val="center"/>
              <w:rPr>
                <w:b/>
                <w:bCs/>
                <w:sz w:val="20"/>
                <w:szCs w:val="20"/>
              </w:rPr>
            </w:pPr>
            <w:r w:rsidRPr="00A8103A">
              <w:rPr>
                <w:b/>
                <w:bCs/>
                <w:sz w:val="20"/>
                <w:szCs w:val="20"/>
              </w:rPr>
              <w:t>% change</w:t>
            </w:r>
          </w:p>
        </w:tc>
        <w:tc>
          <w:tcPr>
            <w:tcW w:w="1639" w:type="dxa"/>
            <w:noWrap/>
            <w:hideMark/>
          </w:tcPr>
          <w:p w14:paraId="21934E8A" w14:textId="77777777" w:rsidR="001C6D45" w:rsidRPr="00A8103A" w:rsidRDefault="001C6D45" w:rsidP="00F8518C">
            <w:pPr>
              <w:pStyle w:val="Table"/>
              <w:jc w:val="center"/>
              <w:rPr>
                <w:b/>
                <w:bCs/>
                <w:sz w:val="20"/>
                <w:szCs w:val="20"/>
              </w:rPr>
            </w:pPr>
            <w:r w:rsidRPr="00A8103A">
              <w:rPr>
                <w:b/>
                <w:bCs/>
                <w:sz w:val="20"/>
                <w:szCs w:val="20"/>
              </w:rPr>
              <w:t xml:space="preserve">Monthly </w:t>
            </w:r>
            <w:proofErr w:type="spellStart"/>
            <w:r w:rsidRPr="00A8103A">
              <w:rPr>
                <w:b/>
                <w:bCs/>
                <w:sz w:val="20"/>
                <w:szCs w:val="20"/>
              </w:rPr>
              <w:t>ad</w:t>
            </w:r>
            <w:r>
              <w:rPr>
                <w:b/>
                <w:bCs/>
                <w:sz w:val="20"/>
                <w:szCs w:val="20"/>
              </w:rPr>
              <w:t>’g</w:t>
            </w:r>
            <w:proofErr w:type="spellEnd"/>
            <w:r>
              <w:rPr>
                <w:b/>
                <w:bCs/>
                <w:sz w:val="20"/>
                <w:szCs w:val="20"/>
              </w:rPr>
              <w:t xml:space="preserve"> </w:t>
            </w:r>
            <w:r w:rsidRPr="00A8103A">
              <w:rPr>
                <w:b/>
                <w:bCs/>
                <w:sz w:val="20"/>
                <w:szCs w:val="20"/>
              </w:rPr>
              <w:t xml:space="preserve"> revenue</w:t>
            </w:r>
          </w:p>
        </w:tc>
      </w:tr>
      <w:tr w:rsidR="001C6D45" w:rsidRPr="0069793E" w14:paraId="2514A0F7" w14:textId="77777777" w:rsidTr="00F8518C">
        <w:trPr>
          <w:gridAfter w:val="1"/>
          <w:wAfter w:w="21" w:type="dxa"/>
          <w:trHeight w:val="290"/>
        </w:trPr>
        <w:tc>
          <w:tcPr>
            <w:tcW w:w="2160" w:type="dxa"/>
            <w:noWrap/>
            <w:hideMark/>
          </w:tcPr>
          <w:p w14:paraId="3ABA83E7" w14:textId="77777777" w:rsidR="001C6D45" w:rsidRPr="0069793E" w:rsidRDefault="001C6D45" w:rsidP="00F8518C">
            <w:pPr>
              <w:pStyle w:val="Table"/>
              <w:rPr>
                <w:sz w:val="20"/>
                <w:szCs w:val="20"/>
              </w:rPr>
            </w:pPr>
            <w:r w:rsidRPr="0069793E">
              <w:rPr>
                <w:sz w:val="20"/>
                <w:szCs w:val="20"/>
              </w:rPr>
              <w:t xml:space="preserve">2018/19 </w:t>
            </w:r>
            <w:proofErr w:type="spellStart"/>
            <w:r w:rsidRPr="0069793E">
              <w:rPr>
                <w:sz w:val="20"/>
                <w:szCs w:val="20"/>
              </w:rPr>
              <w:t>ad</w:t>
            </w:r>
            <w:r>
              <w:rPr>
                <w:sz w:val="20"/>
                <w:szCs w:val="20"/>
              </w:rPr>
              <w:t>’</w:t>
            </w:r>
            <w:r w:rsidRPr="0069793E">
              <w:rPr>
                <w:sz w:val="20"/>
                <w:szCs w:val="20"/>
              </w:rPr>
              <w:t>g</w:t>
            </w:r>
            <w:proofErr w:type="spellEnd"/>
            <w:r w:rsidRPr="0069793E">
              <w:rPr>
                <w:sz w:val="20"/>
                <w:szCs w:val="20"/>
              </w:rPr>
              <w:t xml:space="preserve"> revenue</w:t>
            </w:r>
          </w:p>
        </w:tc>
        <w:tc>
          <w:tcPr>
            <w:tcW w:w="1350" w:type="dxa"/>
            <w:noWrap/>
            <w:hideMark/>
          </w:tcPr>
          <w:p w14:paraId="20631461" w14:textId="77777777" w:rsidR="001C6D45" w:rsidRPr="0069793E" w:rsidRDefault="001C6D45" w:rsidP="00F8518C">
            <w:pPr>
              <w:pStyle w:val="Table"/>
              <w:jc w:val="right"/>
              <w:rPr>
                <w:sz w:val="20"/>
                <w:szCs w:val="20"/>
              </w:rPr>
            </w:pPr>
            <w:r w:rsidRPr="0069793E">
              <w:rPr>
                <w:sz w:val="20"/>
                <w:szCs w:val="20"/>
              </w:rPr>
              <w:t xml:space="preserve"> $  1,321.86 </w:t>
            </w:r>
          </w:p>
        </w:tc>
        <w:tc>
          <w:tcPr>
            <w:tcW w:w="1370" w:type="dxa"/>
            <w:noWrap/>
            <w:hideMark/>
          </w:tcPr>
          <w:p w14:paraId="14119074" w14:textId="77777777" w:rsidR="001C6D45" w:rsidRPr="0069793E" w:rsidRDefault="001C6D45" w:rsidP="00F8518C">
            <w:pPr>
              <w:pStyle w:val="Table"/>
              <w:jc w:val="right"/>
              <w:rPr>
                <w:sz w:val="20"/>
                <w:szCs w:val="20"/>
              </w:rPr>
            </w:pPr>
          </w:p>
        </w:tc>
        <w:tc>
          <w:tcPr>
            <w:tcW w:w="1610" w:type="dxa"/>
            <w:noWrap/>
          </w:tcPr>
          <w:p w14:paraId="00DF6300" w14:textId="77777777" w:rsidR="001C6D45" w:rsidRPr="0069793E" w:rsidRDefault="001C6D45" w:rsidP="00F8518C">
            <w:pPr>
              <w:pStyle w:val="Table"/>
              <w:jc w:val="right"/>
              <w:rPr>
                <w:sz w:val="20"/>
                <w:szCs w:val="20"/>
              </w:rPr>
            </w:pPr>
            <w:r>
              <w:rPr>
                <w:sz w:val="20"/>
                <w:szCs w:val="20"/>
              </w:rPr>
              <w:t>$110.16</w:t>
            </w:r>
          </w:p>
        </w:tc>
        <w:tc>
          <w:tcPr>
            <w:tcW w:w="1520" w:type="dxa"/>
            <w:noWrap/>
            <w:hideMark/>
          </w:tcPr>
          <w:p w14:paraId="14E5949A" w14:textId="77777777" w:rsidR="001C6D45" w:rsidRPr="0069793E" w:rsidRDefault="001C6D45" w:rsidP="00F8518C">
            <w:pPr>
              <w:pStyle w:val="Table"/>
              <w:jc w:val="right"/>
              <w:rPr>
                <w:sz w:val="20"/>
                <w:szCs w:val="20"/>
              </w:rPr>
            </w:pPr>
            <w:r w:rsidRPr="0069793E">
              <w:rPr>
                <w:sz w:val="20"/>
                <w:szCs w:val="20"/>
              </w:rPr>
              <w:t xml:space="preserve"> $1,453.01 </w:t>
            </w:r>
          </w:p>
        </w:tc>
        <w:tc>
          <w:tcPr>
            <w:tcW w:w="1250" w:type="dxa"/>
            <w:noWrap/>
            <w:hideMark/>
          </w:tcPr>
          <w:p w14:paraId="468281C2" w14:textId="77777777" w:rsidR="001C6D45" w:rsidRPr="0069793E" w:rsidRDefault="001C6D45" w:rsidP="00F8518C">
            <w:pPr>
              <w:pStyle w:val="Table"/>
              <w:jc w:val="right"/>
              <w:rPr>
                <w:sz w:val="20"/>
                <w:szCs w:val="20"/>
              </w:rPr>
            </w:pPr>
          </w:p>
        </w:tc>
        <w:tc>
          <w:tcPr>
            <w:tcW w:w="1639" w:type="dxa"/>
            <w:noWrap/>
            <w:hideMark/>
          </w:tcPr>
          <w:p w14:paraId="17B8BC18" w14:textId="77777777" w:rsidR="001C6D45" w:rsidRPr="0069793E" w:rsidRDefault="001C6D45" w:rsidP="00F8518C">
            <w:pPr>
              <w:pStyle w:val="Table"/>
              <w:jc w:val="right"/>
              <w:rPr>
                <w:sz w:val="20"/>
                <w:szCs w:val="20"/>
              </w:rPr>
            </w:pPr>
            <w:r w:rsidRPr="0069793E">
              <w:rPr>
                <w:sz w:val="20"/>
                <w:szCs w:val="20"/>
              </w:rPr>
              <w:t xml:space="preserve"> $ 121.08 </w:t>
            </w:r>
          </w:p>
        </w:tc>
      </w:tr>
      <w:tr w:rsidR="001C6D45" w:rsidRPr="0069793E" w14:paraId="14D95B58" w14:textId="77777777" w:rsidTr="00F8518C">
        <w:trPr>
          <w:trHeight w:val="290"/>
        </w:trPr>
        <w:tc>
          <w:tcPr>
            <w:tcW w:w="10920" w:type="dxa"/>
            <w:gridSpan w:val="8"/>
            <w:noWrap/>
          </w:tcPr>
          <w:p w14:paraId="236FD8B5" w14:textId="77777777" w:rsidR="001C6D45" w:rsidRPr="0069793E" w:rsidRDefault="001C6D45" w:rsidP="00F8518C">
            <w:pPr>
              <w:pStyle w:val="Table"/>
              <w:rPr>
                <w:sz w:val="20"/>
                <w:szCs w:val="20"/>
              </w:rPr>
            </w:pPr>
            <w:r>
              <w:rPr>
                <w:sz w:val="20"/>
                <w:szCs w:val="20"/>
              </w:rPr>
              <w:t>Estimates for 2019/20 broadcast year</w:t>
            </w:r>
          </w:p>
        </w:tc>
      </w:tr>
      <w:tr w:rsidR="001C6D45" w:rsidRPr="0069793E" w14:paraId="24B4DB11" w14:textId="77777777" w:rsidTr="00F8518C">
        <w:trPr>
          <w:gridAfter w:val="1"/>
          <w:wAfter w:w="21" w:type="dxa"/>
          <w:trHeight w:val="290"/>
        </w:trPr>
        <w:tc>
          <w:tcPr>
            <w:tcW w:w="2160" w:type="dxa"/>
            <w:noWrap/>
            <w:hideMark/>
          </w:tcPr>
          <w:p w14:paraId="7191EC4C" w14:textId="77777777" w:rsidR="001C6D45" w:rsidRPr="0069793E" w:rsidRDefault="001C6D45" w:rsidP="00F8518C">
            <w:pPr>
              <w:pStyle w:val="Table"/>
              <w:rPr>
                <w:sz w:val="20"/>
                <w:szCs w:val="20"/>
              </w:rPr>
            </w:pPr>
            <w:r>
              <w:rPr>
                <w:sz w:val="20"/>
                <w:szCs w:val="20"/>
              </w:rPr>
              <w:t>Sept 2019</w:t>
            </w:r>
          </w:p>
        </w:tc>
        <w:tc>
          <w:tcPr>
            <w:tcW w:w="1350" w:type="dxa"/>
            <w:noWrap/>
            <w:hideMark/>
          </w:tcPr>
          <w:p w14:paraId="06231BB2" w14:textId="77777777" w:rsidR="001C6D45" w:rsidRPr="0069793E" w:rsidRDefault="001C6D45" w:rsidP="00F8518C">
            <w:pPr>
              <w:pStyle w:val="Table"/>
              <w:jc w:val="right"/>
              <w:rPr>
                <w:sz w:val="20"/>
                <w:szCs w:val="20"/>
              </w:rPr>
            </w:pPr>
            <w:r w:rsidRPr="0069793E">
              <w:rPr>
                <w:sz w:val="20"/>
                <w:szCs w:val="20"/>
              </w:rPr>
              <w:t xml:space="preserve"> $110.16 </w:t>
            </w:r>
          </w:p>
        </w:tc>
        <w:tc>
          <w:tcPr>
            <w:tcW w:w="1370" w:type="dxa"/>
            <w:noWrap/>
            <w:hideMark/>
          </w:tcPr>
          <w:p w14:paraId="0BEA275A" w14:textId="77777777" w:rsidR="001C6D45" w:rsidRPr="0069793E" w:rsidRDefault="001C6D45" w:rsidP="00F8518C">
            <w:pPr>
              <w:pStyle w:val="Table"/>
              <w:jc w:val="right"/>
              <w:rPr>
                <w:sz w:val="20"/>
                <w:szCs w:val="20"/>
              </w:rPr>
            </w:pPr>
          </w:p>
        </w:tc>
        <w:tc>
          <w:tcPr>
            <w:tcW w:w="1610" w:type="dxa"/>
            <w:noWrap/>
            <w:hideMark/>
          </w:tcPr>
          <w:p w14:paraId="30F45733" w14:textId="77777777" w:rsidR="001C6D45" w:rsidRPr="0069793E" w:rsidRDefault="001C6D45" w:rsidP="00F8518C">
            <w:pPr>
              <w:pStyle w:val="Table"/>
              <w:jc w:val="right"/>
              <w:rPr>
                <w:sz w:val="20"/>
                <w:szCs w:val="20"/>
              </w:rPr>
            </w:pPr>
            <w:r w:rsidRPr="0069793E">
              <w:rPr>
                <w:sz w:val="20"/>
                <w:szCs w:val="20"/>
              </w:rPr>
              <w:t xml:space="preserve"> $ 110.16 </w:t>
            </w:r>
          </w:p>
        </w:tc>
        <w:tc>
          <w:tcPr>
            <w:tcW w:w="1520" w:type="dxa"/>
            <w:noWrap/>
            <w:hideMark/>
          </w:tcPr>
          <w:p w14:paraId="28C21F83" w14:textId="77777777" w:rsidR="001C6D45" w:rsidRPr="0069793E" w:rsidRDefault="001C6D45" w:rsidP="00F8518C">
            <w:pPr>
              <w:pStyle w:val="Table"/>
              <w:jc w:val="right"/>
              <w:rPr>
                <w:sz w:val="20"/>
                <w:szCs w:val="20"/>
              </w:rPr>
            </w:pPr>
            <w:r w:rsidRPr="0069793E">
              <w:rPr>
                <w:sz w:val="20"/>
                <w:szCs w:val="20"/>
              </w:rPr>
              <w:t xml:space="preserve"> $121.08 </w:t>
            </w:r>
          </w:p>
        </w:tc>
        <w:tc>
          <w:tcPr>
            <w:tcW w:w="1250" w:type="dxa"/>
            <w:noWrap/>
            <w:hideMark/>
          </w:tcPr>
          <w:p w14:paraId="3A3FB237" w14:textId="77777777" w:rsidR="001C6D45" w:rsidRPr="0069793E" w:rsidRDefault="001C6D45" w:rsidP="00F8518C">
            <w:pPr>
              <w:pStyle w:val="Table"/>
              <w:jc w:val="right"/>
              <w:rPr>
                <w:sz w:val="20"/>
                <w:szCs w:val="20"/>
              </w:rPr>
            </w:pPr>
          </w:p>
        </w:tc>
        <w:tc>
          <w:tcPr>
            <w:tcW w:w="1639" w:type="dxa"/>
            <w:noWrap/>
            <w:hideMark/>
          </w:tcPr>
          <w:p w14:paraId="38A4C8B7" w14:textId="77777777" w:rsidR="001C6D45" w:rsidRPr="0069793E" w:rsidRDefault="001C6D45" w:rsidP="00F8518C">
            <w:pPr>
              <w:pStyle w:val="Table"/>
              <w:jc w:val="right"/>
              <w:rPr>
                <w:sz w:val="20"/>
                <w:szCs w:val="20"/>
              </w:rPr>
            </w:pPr>
            <w:r w:rsidRPr="0069793E">
              <w:rPr>
                <w:sz w:val="20"/>
                <w:szCs w:val="20"/>
              </w:rPr>
              <w:t xml:space="preserve"> $ 121.08 </w:t>
            </w:r>
          </w:p>
        </w:tc>
      </w:tr>
      <w:tr w:rsidR="001C6D45" w:rsidRPr="0069793E" w14:paraId="06C9FB53" w14:textId="77777777" w:rsidTr="00F8518C">
        <w:trPr>
          <w:gridAfter w:val="1"/>
          <w:wAfter w:w="21" w:type="dxa"/>
          <w:trHeight w:val="290"/>
        </w:trPr>
        <w:tc>
          <w:tcPr>
            <w:tcW w:w="2160" w:type="dxa"/>
            <w:noWrap/>
            <w:hideMark/>
          </w:tcPr>
          <w:p w14:paraId="4944D2B3" w14:textId="77777777" w:rsidR="001C6D45" w:rsidRPr="0069793E" w:rsidRDefault="001C6D45" w:rsidP="00F8518C">
            <w:pPr>
              <w:pStyle w:val="Table"/>
              <w:rPr>
                <w:sz w:val="20"/>
                <w:szCs w:val="20"/>
              </w:rPr>
            </w:pPr>
            <w:r>
              <w:rPr>
                <w:sz w:val="20"/>
                <w:szCs w:val="20"/>
              </w:rPr>
              <w:t>Oct 2019</w:t>
            </w:r>
          </w:p>
        </w:tc>
        <w:tc>
          <w:tcPr>
            <w:tcW w:w="1350" w:type="dxa"/>
            <w:noWrap/>
            <w:hideMark/>
          </w:tcPr>
          <w:p w14:paraId="7053E75B" w14:textId="77777777" w:rsidR="001C6D45" w:rsidRPr="0069793E" w:rsidRDefault="001C6D45" w:rsidP="00F8518C">
            <w:pPr>
              <w:pStyle w:val="Table"/>
              <w:jc w:val="right"/>
              <w:rPr>
                <w:sz w:val="20"/>
                <w:szCs w:val="20"/>
              </w:rPr>
            </w:pPr>
            <w:r w:rsidRPr="0069793E">
              <w:rPr>
                <w:sz w:val="20"/>
                <w:szCs w:val="20"/>
              </w:rPr>
              <w:t xml:space="preserve"> $110.16 </w:t>
            </w:r>
          </w:p>
        </w:tc>
        <w:tc>
          <w:tcPr>
            <w:tcW w:w="1370" w:type="dxa"/>
            <w:noWrap/>
            <w:hideMark/>
          </w:tcPr>
          <w:p w14:paraId="5DDF6F17" w14:textId="77777777" w:rsidR="001C6D45" w:rsidRPr="0069793E" w:rsidRDefault="001C6D45" w:rsidP="00F8518C">
            <w:pPr>
              <w:pStyle w:val="Table"/>
              <w:jc w:val="right"/>
              <w:rPr>
                <w:sz w:val="20"/>
                <w:szCs w:val="20"/>
              </w:rPr>
            </w:pPr>
          </w:p>
        </w:tc>
        <w:tc>
          <w:tcPr>
            <w:tcW w:w="1610" w:type="dxa"/>
            <w:noWrap/>
            <w:hideMark/>
          </w:tcPr>
          <w:p w14:paraId="5FB5A7E2" w14:textId="77777777" w:rsidR="001C6D45" w:rsidRPr="0069793E" w:rsidRDefault="001C6D45" w:rsidP="00F8518C">
            <w:pPr>
              <w:pStyle w:val="Table"/>
              <w:jc w:val="right"/>
              <w:rPr>
                <w:sz w:val="20"/>
                <w:szCs w:val="20"/>
              </w:rPr>
            </w:pPr>
            <w:r w:rsidRPr="0069793E">
              <w:rPr>
                <w:sz w:val="20"/>
                <w:szCs w:val="20"/>
              </w:rPr>
              <w:t xml:space="preserve"> $ 110.16 </w:t>
            </w:r>
          </w:p>
        </w:tc>
        <w:tc>
          <w:tcPr>
            <w:tcW w:w="1520" w:type="dxa"/>
            <w:noWrap/>
            <w:hideMark/>
          </w:tcPr>
          <w:p w14:paraId="56F683D5" w14:textId="77777777" w:rsidR="001C6D45" w:rsidRPr="0069793E" w:rsidRDefault="001C6D45" w:rsidP="00F8518C">
            <w:pPr>
              <w:pStyle w:val="Table"/>
              <w:jc w:val="right"/>
              <w:rPr>
                <w:sz w:val="20"/>
                <w:szCs w:val="20"/>
              </w:rPr>
            </w:pPr>
            <w:r w:rsidRPr="0069793E">
              <w:rPr>
                <w:sz w:val="20"/>
                <w:szCs w:val="20"/>
              </w:rPr>
              <w:t xml:space="preserve"> $121.08 </w:t>
            </w:r>
          </w:p>
        </w:tc>
        <w:tc>
          <w:tcPr>
            <w:tcW w:w="1250" w:type="dxa"/>
            <w:noWrap/>
            <w:hideMark/>
          </w:tcPr>
          <w:p w14:paraId="4A2C7073" w14:textId="77777777" w:rsidR="001C6D45" w:rsidRPr="0069793E" w:rsidRDefault="001C6D45" w:rsidP="00F8518C">
            <w:pPr>
              <w:pStyle w:val="Table"/>
              <w:jc w:val="right"/>
              <w:rPr>
                <w:sz w:val="20"/>
                <w:szCs w:val="20"/>
              </w:rPr>
            </w:pPr>
          </w:p>
        </w:tc>
        <w:tc>
          <w:tcPr>
            <w:tcW w:w="1639" w:type="dxa"/>
            <w:noWrap/>
            <w:hideMark/>
          </w:tcPr>
          <w:p w14:paraId="25E2BF19" w14:textId="77777777" w:rsidR="001C6D45" w:rsidRPr="0069793E" w:rsidRDefault="001C6D45" w:rsidP="00F8518C">
            <w:pPr>
              <w:pStyle w:val="Table"/>
              <w:jc w:val="right"/>
              <w:rPr>
                <w:sz w:val="20"/>
                <w:szCs w:val="20"/>
              </w:rPr>
            </w:pPr>
            <w:r w:rsidRPr="0069793E">
              <w:rPr>
                <w:sz w:val="20"/>
                <w:szCs w:val="20"/>
              </w:rPr>
              <w:t xml:space="preserve"> $ 121.08 </w:t>
            </w:r>
          </w:p>
        </w:tc>
      </w:tr>
      <w:tr w:rsidR="001C6D45" w:rsidRPr="0069793E" w14:paraId="05C62578" w14:textId="77777777" w:rsidTr="00F8518C">
        <w:trPr>
          <w:gridAfter w:val="1"/>
          <w:wAfter w:w="21" w:type="dxa"/>
          <w:trHeight w:val="290"/>
        </w:trPr>
        <w:tc>
          <w:tcPr>
            <w:tcW w:w="2160" w:type="dxa"/>
            <w:noWrap/>
            <w:hideMark/>
          </w:tcPr>
          <w:p w14:paraId="0DBB5F72" w14:textId="77777777" w:rsidR="001C6D45" w:rsidRPr="0069793E" w:rsidRDefault="001C6D45" w:rsidP="00F8518C">
            <w:pPr>
              <w:pStyle w:val="Table"/>
              <w:rPr>
                <w:sz w:val="20"/>
                <w:szCs w:val="20"/>
              </w:rPr>
            </w:pPr>
            <w:r>
              <w:rPr>
                <w:sz w:val="20"/>
                <w:szCs w:val="20"/>
              </w:rPr>
              <w:t>Nov 2019</w:t>
            </w:r>
          </w:p>
        </w:tc>
        <w:tc>
          <w:tcPr>
            <w:tcW w:w="1350" w:type="dxa"/>
            <w:noWrap/>
            <w:hideMark/>
          </w:tcPr>
          <w:p w14:paraId="6849460B" w14:textId="77777777" w:rsidR="001C6D45" w:rsidRPr="0069793E" w:rsidRDefault="001C6D45" w:rsidP="00F8518C">
            <w:pPr>
              <w:pStyle w:val="Table"/>
              <w:jc w:val="right"/>
              <w:rPr>
                <w:sz w:val="20"/>
                <w:szCs w:val="20"/>
              </w:rPr>
            </w:pPr>
            <w:r w:rsidRPr="0069793E">
              <w:rPr>
                <w:sz w:val="20"/>
                <w:szCs w:val="20"/>
              </w:rPr>
              <w:t xml:space="preserve"> $110.16 </w:t>
            </w:r>
          </w:p>
        </w:tc>
        <w:tc>
          <w:tcPr>
            <w:tcW w:w="1370" w:type="dxa"/>
            <w:noWrap/>
            <w:hideMark/>
          </w:tcPr>
          <w:p w14:paraId="5E110596" w14:textId="77777777" w:rsidR="001C6D45" w:rsidRPr="0069793E" w:rsidRDefault="001C6D45" w:rsidP="00F8518C">
            <w:pPr>
              <w:pStyle w:val="Table"/>
              <w:jc w:val="right"/>
              <w:rPr>
                <w:sz w:val="20"/>
                <w:szCs w:val="20"/>
              </w:rPr>
            </w:pPr>
          </w:p>
        </w:tc>
        <w:tc>
          <w:tcPr>
            <w:tcW w:w="1610" w:type="dxa"/>
            <w:noWrap/>
            <w:hideMark/>
          </w:tcPr>
          <w:p w14:paraId="4E10336B" w14:textId="77777777" w:rsidR="001C6D45" w:rsidRPr="0069793E" w:rsidRDefault="001C6D45" w:rsidP="00F8518C">
            <w:pPr>
              <w:pStyle w:val="Table"/>
              <w:jc w:val="right"/>
              <w:rPr>
                <w:sz w:val="20"/>
                <w:szCs w:val="20"/>
              </w:rPr>
            </w:pPr>
            <w:r w:rsidRPr="0069793E">
              <w:rPr>
                <w:sz w:val="20"/>
                <w:szCs w:val="20"/>
              </w:rPr>
              <w:t xml:space="preserve"> $ 110.16 </w:t>
            </w:r>
          </w:p>
        </w:tc>
        <w:tc>
          <w:tcPr>
            <w:tcW w:w="1520" w:type="dxa"/>
            <w:noWrap/>
            <w:hideMark/>
          </w:tcPr>
          <w:p w14:paraId="5E91673C" w14:textId="77777777" w:rsidR="001C6D45" w:rsidRPr="0069793E" w:rsidRDefault="001C6D45" w:rsidP="00F8518C">
            <w:pPr>
              <w:pStyle w:val="Table"/>
              <w:jc w:val="right"/>
              <w:rPr>
                <w:sz w:val="20"/>
                <w:szCs w:val="20"/>
              </w:rPr>
            </w:pPr>
            <w:r w:rsidRPr="0069793E">
              <w:rPr>
                <w:sz w:val="20"/>
                <w:szCs w:val="20"/>
              </w:rPr>
              <w:t xml:space="preserve"> $121.08 </w:t>
            </w:r>
          </w:p>
        </w:tc>
        <w:tc>
          <w:tcPr>
            <w:tcW w:w="1250" w:type="dxa"/>
            <w:noWrap/>
            <w:hideMark/>
          </w:tcPr>
          <w:p w14:paraId="0B32610F" w14:textId="77777777" w:rsidR="001C6D45" w:rsidRPr="0069793E" w:rsidRDefault="001C6D45" w:rsidP="00F8518C">
            <w:pPr>
              <w:pStyle w:val="Table"/>
              <w:jc w:val="right"/>
              <w:rPr>
                <w:sz w:val="20"/>
                <w:szCs w:val="20"/>
              </w:rPr>
            </w:pPr>
          </w:p>
        </w:tc>
        <w:tc>
          <w:tcPr>
            <w:tcW w:w="1639" w:type="dxa"/>
            <w:noWrap/>
            <w:hideMark/>
          </w:tcPr>
          <w:p w14:paraId="26C24462" w14:textId="77777777" w:rsidR="001C6D45" w:rsidRPr="0069793E" w:rsidRDefault="001C6D45" w:rsidP="00F8518C">
            <w:pPr>
              <w:pStyle w:val="Table"/>
              <w:jc w:val="right"/>
              <w:rPr>
                <w:sz w:val="20"/>
                <w:szCs w:val="20"/>
              </w:rPr>
            </w:pPr>
            <w:r w:rsidRPr="0069793E">
              <w:rPr>
                <w:sz w:val="20"/>
                <w:szCs w:val="20"/>
              </w:rPr>
              <w:t xml:space="preserve"> $ 121.08 </w:t>
            </w:r>
          </w:p>
        </w:tc>
      </w:tr>
      <w:tr w:rsidR="001C6D45" w:rsidRPr="0069793E" w14:paraId="6AB8812F" w14:textId="77777777" w:rsidTr="00F8518C">
        <w:trPr>
          <w:gridAfter w:val="1"/>
          <w:wAfter w:w="21" w:type="dxa"/>
          <w:trHeight w:val="290"/>
        </w:trPr>
        <w:tc>
          <w:tcPr>
            <w:tcW w:w="2160" w:type="dxa"/>
            <w:noWrap/>
            <w:hideMark/>
          </w:tcPr>
          <w:p w14:paraId="1D98131C" w14:textId="77777777" w:rsidR="001C6D45" w:rsidRPr="0069793E" w:rsidRDefault="001C6D45" w:rsidP="00F8518C">
            <w:pPr>
              <w:pStyle w:val="Table"/>
              <w:rPr>
                <w:sz w:val="20"/>
                <w:szCs w:val="20"/>
              </w:rPr>
            </w:pPr>
            <w:r>
              <w:rPr>
                <w:sz w:val="20"/>
                <w:szCs w:val="20"/>
              </w:rPr>
              <w:t>Dec 2019</w:t>
            </w:r>
          </w:p>
        </w:tc>
        <w:tc>
          <w:tcPr>
            <w:tcW w:w="1350" w:type="dxa"/>
            <w:noWrap/>
            <w:hideMark/>
          </w:tcPr>
          <w:p w14:paraId="6E21DA95" w14:textId="77777777" w:rsidR="001C6D45" w:rsidRPr="0069793E" w:rsidRDefault="001C6D45" w:rsidP="00F8518C">
            <w:pPr>
              <w:pStyle w:val="Table"/>
              <w:jc w:val="right"/>
              <w:rPr>
                <w:sz w:val="20"/>
                <w:szCs w:val="20"/>
              </w:rPr>
            </w:pPr>
            <w:r w:rsidRPr="0069793E">
              <w:rPr>
                <w:sz w:val="20"/>
                <w:szCs w:val="20"/>
              </w:rPr>
              <w:t xml:space="preserve"> $110.16 </w:t>
            </w:r>
          </w:p>
        </w:tc>
        <w:tc>
          <w:tcPr>
            <w:tcW w:w="1370" w:type="dxa"/>
            <w:noWrap/>
            <w:hideMark/>
          </w:tcPr>
          <w:p w14:paraId="23CB75ED" w14:textId="77777777" w:rsidR="001C6D45" w:rsidRPr="0069793E" w:rsidRDefault="001C6D45" w:rsidP="00F8518C">
            <w:pPr>
              <w:pStyle w:val="Table"/>
              <w:jc w:val="right"/>
              <w:rPr>
                <w:sz w:val="20"/>
                <w:szCs w:val="20"/>
              </w:rPr>
            </w:pPr>
          </w:p>
        </w:tc>
        <w:tc>
          <w:tcPr>
            <w:tcW w:w="1610" w:type="dxa"/>
            <w:noWrap/>
            <w:hideMark/>
          </w:tcPr>
          <w:p w14:paraId="4F77B8DF" w14:textId="77777777" w:rsidR="001C6D45" w:rsidRPr="0069793E" w:rsidRDefault="001C6D45" w:rsidP="00F8518C">
            <w:pPr>
              <w:pStyle w:val="Table"/>
              <w:jc w:val="right"/>
              <w:rPr>
                <w:sz w:val="20"/>
                <w:szCs w:val="20"/>
              </w:rPr>
            </w:pPr>
            <w:r w:rsidRPr="0069793E">
              <w:rPr>
                <w:sz w:val="20"/>
                <w:szCs w:val="20"/>
              </w:rPr>
              <w:t xml:space="preserve"> $ 110.16 </w:t>
            </w:r>
          </w:p>
        </w:tc>
        <w:tc>
          <w:tcPr>
            <w:tcW w:w="1520" w:type="dxa"/>
            <w:noWrap/>
            <w:hideMark/>
          </w:tcPr>
          <w:p w14:paraId="3EFC308F" w14:textId="77777777" w:rsidR="001C6D45" w:rsidRPr="0069793E" w:rsidRDefault="001C6D45" w:rsidP="00F8518C">
            <w:pPr>
              <w:pStyle w:val="Table"/>
              <w:jc w:val="right"/>
              <w:rPr>
                <w:sz w:val="20"/>
                <w:szCs w:val="20"/>
              </w:rPr>
            </w:pPr>
            <w:r w:rsidRPr="0069793E">
              <w:rPr>
                <w:sz w:val="20"/>
                <w:szCs w:val="20"/>
              </w:rPr>
              <w:t xml:space="preserve"> $121.08 </w:t>
            </w:r>
          </w:p>
        </w:tc>
        <w:tc>
          <w:tcPr>
            <w:tcW w:w="1250" w:type="dxa"/>
            <w:noWrap/>
            <w:hideMark/>
          </w:tcPr>
          <w:p w14:paraId="6BDFA6DA" w14:textId="77777777" w:rsidR="001C6D45" w:rsidRPr="0069793E" w:rsidRDefault="001C6D45" w:rsidP="00F8518C">
            <w:pPr>
              <w:pStyle w:val="Table"/>
              <w:jc w:val="right"/>
              <w:rPr>
                <w:sz w:val="20"/>
                <w:szCs w:val="20"/>
              </w:rPr>
            </w:pPr>
          </w:p>
        </w:tc>
        <w:tc>
          <w:tcPr>
            <w:tcW w:w="1639" w:type="dxa"/>
            <w:noWrap/>
            <w:hideMark/>
          </w:tcPr>
          <w:p w14:paraId="7E10EF47" w14:textId="77777777" w:rsidR="001C6D45" w:rsidRPr="0069793E" w:rsidRDefault="001C6D45" w:rsidP="00F8518C">
            <w:pPr>
              <w:pStyle w:val="Table"/>
              <w:jc w:val="right"/>
              <w:rPr>
                <w:sz w:val="20"/>
                <w:szCs w:val="20"/>
              </w:rPr>
            </w:pPr>
            <w:r w:rsidRPr="0069793E">
              <w:rPr>
                <w:sz w:val="20"/>
                <w:szCs w:val="20"/>
              </w:rPr>
              <w:t xml:space="preserve"> $ 121.08 </w:t>
            </w:r>
          </w:p>
        </w:tc>
      </w:tr>
      <w:tr w:rsidR="001C6D45" w:rsidRPr="0069793E" w14:paraId="2C85843A" w14:textId="77777777" w:rsidTr="00F8518C">
        <w:trPr>
          <w:gridAfter w:val="1"/>
          <w:wAfter w:w="21" w:type="dxa"/>
          <w:trHeight w:val="290"/>
        </w:trPr>
        <w:tc>
          <w:tcPr>
            <w:tcW w:w="2160" w:type="dxa"/>
            <w:noWrap/>
            <w:hideMark/>
          </w:tcPr>
          <w:p w14:paraId="4340D4CC" w14:textId="77777777" w:rsidR="001C6D45" w:rsidRPr="0069793E" w:rsidRDefault="001C6D45" w:rsidP="00F8518C">
            <w:pPr>
              <w:pStyle w:val="Table"/>
              <w:rPr>
                <w:sz w:val="20"/>
                <w:szCs w:val="20"/>
              </w:rPr>
            </w:pPr>
            <w:r>
              <w:rPr>
                <w:sz w:val="20"/>
                <w:szCs w:val="20"/>
              </w:rPr>
              <w:t>Jan 2020</w:t>
            </w:r>
          </w:p>
        </w:tc>
        <w:tc>
          <w:tcPr>
            <w:tcW w:w="1350" w:type="dxa"/>
            <w:noWrap/>
            <w:hideMark/>
          </w:tcPr>
          <w:p w14:paraId="29305F17" w14:textId="77777777" w:rsidR="001C6D45" w:rsidRPr="0069793E" w:rsidRDefault="001C6D45" w:rsidP="00F8518C">
            <w:pPr>
              <w:pStyle w:val="Table"/>
              <w:jc w:val="right"/>
              <w:rPr>
                <w:sz w:val="20"/>
                <w:szCs w:val="20"/>
              </w:rPr>
            </w:pPr>
            <w:r w:rsidRPr="0069793E">
              <w:rPr>
                <w:sz w:val="20"/>
                <w:szCs w:val="20"/>
              </w:rPr>
              <w:t xml:space="preserve"> $110.16 </w:t>
            </w:r>
          </w:p>
        </w:tc>
        <w:tc>
          <w:tcPr>
            <w:tcW w:w="1370" w:type="dxa"/>
            <w:noWrap/>
            <w:hideMark/>
          </w:tcPr>
          <w:p w14:paraId="3FBCCC0C" w14:textId="77777777" w:rsidR="001C6D45" w:rsidRPr="0069793E" w:rsidRDefault="001C6D45" w:rsidP="00F8518C">
            <w:pPr>
              <w:pStyle w:val="Table"/>
              <w:jc w:val="right"/>
              <w:rPr>
                <w:sz w:val="20"/>
                <w:szCs w:val="20"/>
              </w:rPr>
            </w:pPr>
          </w:p>
        </w:tc>
        <w:tc>
          <w:tcPr>
            <w:tcW w:w="1610" w:type="dxa"/>
            <w:noWrap/>
            <w:hideMark/>
          </w:tcPr>
          <w:p w14:paraId="48ECC844" w14:textId="77777777" w:rsidR="001C6D45" w:rsidRPr="0069793E" w:rsidRDefault="001C6D45" w:rsidP="00F8518C">
            <w:pPr>
              <w:pStyle w:val="Table"/>
              <w:jc w:val="right"/>
              <w:rPr>
                <w:sz w:val="20"/>
                <w:szCs w:val="20"/>
              </w:rPr>
            </w:pPr>
            <w:r w:rsidRPr="0069793E">
              <w:rPr>
                <w:sz w:val="20"/>
                <w:szCs w:val="20"/>
              </w:rPr>
              <w:t xml:space="preserve"> $ 110.16 </w:t>
            </w:r>
          </w:p>
        </w:tc>
        <w:tc>
          <w:tcPr>
            <w:tcW w:w="1520" w:type="dxa"/>
            <w:noWrap/>
            <w:hideMark/>
          </w:tcPr>
          <w:p w14:paraId="3ECBC5B9" w14:textId="77777777" w:rsidR="001C6D45" w:rsidRPr="0069793E" w:rsidRDefault="001C6D45" w:rsidP="00F8518C">
            <w:pPr>
              <w:pStyle w:val="Table"/>
              <w:jc w:val="right"/>
              <w:rPr>
                <w:sz w:val="20"/>
                <w:szCs w:val="20"/>
              </w:rPr>
            </w:pPr>
            <w:r w:rsidRPr="0069793E">
              <w:rPr>
                <w:sz w:val="20"/>
                <w:szCs w:val="20"/>
              </w:rPr>
              <w:t xml:space="preserve"> $121.08 </w:t>
            </w:r>
          </w:p>
        </w:tc>
        <w:tc>
          <w:tcPr>
            <w:tcW w:w="1250" w:type="dxa"/>
            <w:noWrap/>
            <w:hideMark/>
          </w:tcPr>
          <w:p w14:paraId="2A6D2F10" w14:textId="77777777" w:rsidR="001C6D45" w:rsidRPr="0069793E" w:rsidRDefault="001C6D45" w:rsidP="00F8518C">
            <w:pPr>
              <w:pStyle w:val="Table"/>
              <w:jc w:val="right"/>
              <w:rPr>
                <w:sz w:val="20"/>
                <w:szCs w:val="20"/>
              </w:rPr>
            </w:pPr>
          </w:p>
        </w:tc>
        <w:tc>
          <w:tcPr>
            <w:tcW w:w="1639" w:type="dxa"/>
            <w:noWrap/>
            <w:hideMark/>
          </w:tcPr>
          <w:p w14:paraId="39B33F05" w14:textId="77777777" w:rsidR="001C6D45" w:rsidRPr="0069793E" w:rsidRDefault="001C6D45" w:rsidP="00F8518C">
            <w:pPr>
              <w:pStyle w:val="Table"/>
              <w:jc w:val="right"/>
              <w:rPr>
                <w:sz w:val="20"/>
                <w:szCs w:val="20"/>
              </w:rPr>
            </w:pPr>
            <w:r w:rsidRPr="0069793E">
              <w:rPr>
                <w:sz w:val="20"/>
                <w:szCs w:val="20"/>
              </w:rPr>
              <w:t xml:space="preserve"> $ 121.08 </w:t>
            </w:r>
          </w:p>
        </w:tc>
      </w:tr>
      <w:tr w:rsidR="001C6D45" w:rsidRPr="0069793E" w14:paraId="4880FD8D" w14:textId="77777777" w:rsidTr="00F8518C">
        <w:trPr>
          <w:gridAfter w:val="1"/>
          <w:wAfter w:w="21" w:type="dxa"/>
          <w:trHeight w:val="290"/>
        </w:trPr>
        <w:tc>
          <w:tcPr>
            <w:tcW w:w="2160" w:type="dxa"/>
            <w:noWrap/>
            <w:hideMark/>
          </w:tcPr>
          <w:p w14:paraId="192E5DA5" w14:textId="77777777" w:rsidR="001C6D45" w:rsidRPr="0069793E" w:rsidRDefault="001C6D45" w:rsidP="00F8518C">
            <w:pPr>
              <w:pStyle w:val="Table"/>
              <w:rPr>
                <w:sz w:val="20"/>
                <w:szCs w:val="20"/>
              </w:rPr>
            </w:pPr>
            <w:r>
              <w:rPr>
                <w:sz w:val="20"/>
                <w:szCs w:val="20"/>
              </w:rPr>
              <w:t>Feb 2020</w:t>
            </w:r>
          </w:p>
        </w:tc>
        <w:tc>
          <w:tcPr>
            <w:tcW w:w="1350" w:type="dxa"/>
            <w:noWrap/>
            <w:hideMark/>
          </w:tcPr>
          <w:p w14:paraId="22CB3BBD" w14:textId="77777777" w:rsidR="001C6D45" w:rsidRPr="0069793E" w:rsidRDefault="001C6D45" w:rsidP="00F8518C">
            <w:pPr>
              <w:pStyle w:val="Table"/>
              <w:jc w:val="right"/>
              <w:rPr>
                <w:sz w:val="20"/>
                <w:szCs w:val="20"/>
              </w:rPr>
            </w:pPr>
            <w:r w:rsidRPr="0069793E">
              <w:rPr>
                <w:sz w:val="20"/>
                <w:szCs w:val="20"/>
              </w:rPr>
              <w:t xml:space="preserve"> $110.16 </w:t>
            </w:r>
          </w:p>
        </w:tc>
        <w:tc>
          <w:tcPr>
            <w:tcW w:w="1370" w:type="dxa"/>
            <w:noWrap/>
            <w:hideMark/>
          </w:tcPr>
          <w:p w14:paraId="69BF8F5C" w14:textId="77777777" w:rsidR="001C6D45" w:rsidRPr="0069793E" w:rsidRDefault="001C6D45" w:rsidP="00F8518C">
            <w:pPr>
              <w:pStyle w:val="Table"/>
              <w:jc w:val="right"/>
              <w:rPr>
                <w:sz w:val="20"/>
                <w:szCs w:val="20"/>
              </w:rPr>
            </w:pPr>
          </w:p>
        </w:tc>
        <w:tc>
          <w:tcPr>
            <w:tcW w:w="1610" w:type="dxa"/>
            <w:noWrap/>
            <w:hideMark/>
          </w:tcPr>
          <w:p w14:paraId="74EBA41F" w14:textId="77777777" w:rsidR="001C6D45" w:rsidRPr="0069793E" w:rsidRDefault="001C6D45" w:rsidP="00F8518C">
            <w:pPr>
              <w:pStyle w:val="Table"/>
              <w:jc w:val="right"/>
              <w:rPr>
                <w:sz w:val="20"/>
                <w:szCs w:val="20"/>
              </w:rPr>
            </w:pPr>
            <w:r w:rsidRPr="0069793E">
              <w:rPr>
                <w:sz w:val="20"/>
                <w:szCs w:val="20"/>
              </w:rPr>
              <w:t xml:space="preserve"> $ 110.16 </w:t>
            </w:r>
          </w:p>
        </w:tc>
        <w:tc>
          <w:tcPr>
            <w:tcW w:w="1520" w:type="dxa"/>
            <w:noWrap/>
            <w:hideMark/>
          </w:tcPr>
          <w:p w14:paraId="0F042217" w14:textId="77777777" w:rsidR="001C6D45" w:rsidRPr="0069793E" w:rsidRDefault="001C6D45" w:rsidP="00F8518C">
            <w:pPr>
              <w:pStyle w:val="Table"/>
              <w:jc w:val="right"/>
              <w:rPr>
                <w:sz w:val="20"/>
                <w:szCs w:val="20"/>
              </w:rPr>
            </w:pPr>
            <w:r w:rsidRPr="0069793E">
              <w:rPr>
                <w:sz w:val="20"/>
                <w:szCs w:val="20"/>
              </w:rPr>
              <w:t xml:space="preserve"> $121.08 </w:t>
            </w:r>
          </w:p>
        </w:tc>
        <w:tc>
          <w:tcPr>
            <w:tcW w:w="1250" w:type="dxa"/>
            <w:noWrap/>
            <w:hideMark/>
          </w:tcPr>
          <w:p w14:paraId="2C9C8454" w14:textId="77777777" w:rsidR="001C6D45" w:rsidRPr="0069793E" w:rsidRDefault="001C6D45" w:rsidP="00F8518C">
            <w:pPr>
              <w:pStyle w:val="Table"/>
              <w:jc w:val="right"/>
              <w:rPr>
                <w:sz w:val="20"/>
                <w:szCs w:val="20"/>
              </w:rPr>
            </w:pPr>
          </w:p>
        </w:tc>
        <w:tc>
          <w:tcPr>
            <w:tcW w:w="1639" w:type="dxa"/>
            <w:noWrap/>
            <w:hideMark/>
          </w:tcPr>
          <w:p w14:paraId="0B8D584B" w14:textId="77777777" w:rsidR="001C6D45" w:rsidRPr="0069793E" w:rsidRDefault="001C6D45" w:rsidP="00F8518C">
            <w:pPr>
              <w:pStyle w:val="Table"/>
              <w:jc w:val="right"/>
              <w:rPr>
                <w:sz w:val="20"/>
                <w:szCs w:val="20"/>
              </w:rPr>
            </w:pPr>
            <w:r w:rsidRPr="0069793E">
              <w:rPr>
                <w:sz w:val="20"/>
                <w:szCs w:val="20"/>
              </w:rPr>
              <w:t xml:space="preserve"> $ 121.08 </w:t>
            </w:r>
          </w:p>
        </w:tc>
      </w:tr>
      <w:tr w:rsidR="001C6D45" w:rsidRPr="0069793E" w14:paraId="1CF0532E" w14:textId="77777777" w:rsidTr="00F8518C">
        <w:trPr>
          <w:gridAfter w:val="1"/>
          <w:wAfter w:w="21" w:type="dxa"/>
          <w:trHeight w:val="290"/>
        </w:trPr>
        <w:tc>
          <w:tcPr>
            <w:tcW w:w="2160" w:type="dxa"/>
            <w:noWrap/>
            <w:hideMark/>
          </w:tcPr>
          <w:p w14:paraId="178BEEEE" w14:textId="77777777" w:rsidR="001C6D45" w:rsidRPr="0069793E" w:rsidRDefault="001C6D45" w:rsidP="00F8518C">
            <w:pPr>
              <w:pStyle w:val="Table"/>
              <w:rPr>
                <w:sz w:val="20"/>
                <w:szCs w:val="20"/>
              </w:rPr>
            </w:pPr>
            <w:r>
              <w:rPr>
                <w:sz w:val="20"/>
                <w:szCs w:val="20"/>
              </w:rPr>
              <w:t>Mar 2020</w:t>
            </w:r>
          </w:p>
        </w:tc>
        <w:tc>
          <w:tcPr>
            <w:tcW w:w="1350" w:type="dxa"/>
            <w:noWrap/>
            <w:hideMark/>
          </w:tcPr>
          <w:p w14:paraId="6E59D8BB" w14:textId="77777777" w:rsidR="001C6D45" w:rsidRPr="0069793E" w:rsidRDefault="001C6D45" w:rsidP="00F8518C">
            <w:pPr>
              <w:pStyle w:val="Table"/>
              <w:jc w:val="right"/>
              <w:rPr>
                <w:sz w:val="20"/>
                <w:szCs w:val="20"/>
              </w:rPr>
            </w:pPr>
            <w:r w:rsidRPr="0069793E">
              <w:rPr>
                <w:sz w:val="20"/>
                <w:szCs w:val="20"/>
              </w:rPr>
              <w:t xml:space="preserve"> $110.16 </w:t>
            </w:r>
          </w:p>
        </w:tc>
        <w:tc>
          <w:tcPr>
            <w:tcW w:w="1370" w:type="dxa"/>
            <w:noWrap/>
            <w:hideMark/>
          </w:tcPr>
          <w:p w14:paraId="07DC6796" w14:textId="77777777" w:rsidR="001C6D45" w:rsidRPr="0069793E" w:rsidRDefault="001C6D45" w:rsidP="00F8518C">
            <w:pPr>
              <w:pStyle w:val="Table"/>
              <w:jc w:val="right"/>
              <w:rPr>
                <w:sz w:val="20"/>
                <w:szCs w:val="20"/>
              </w:rPr>
            </w:pPr>
            <w:r w:rsidRPr="0069793E">
              <w:rPr>
                <w:sz w:val="20"/>
                <w:szCs w:val="20"/>
              </w:rPr>
              <w:t>-14.6%</w:t>
            </w:r>
          </w:p>
        </w:tc>
        <w:tc>
          <w:tcPr>
            <w:tcW w:w="1610" w:type="dxa"/>
            <w:noWrap/>
            <w:hideMark/>
          </w:tcPr>
          <w:p w14:paraId="2D7E9D77" w14:textId="77777777" w:rsidR="001C6D45" w:rsidRPr="0069793E" w:rsidRDefault="001C6D45" w:rsidP="00F8518C">
            <w:pPr>
              <w:pStyle w:val="Table"/>
              <w:jc w:val="right"/>
              <w:rPr>
                <w:sz w:val="20"/>
                <w:szCs w:val="20"/>
              </w:rPr>
            </w:pPr>
            <w:r w:rsidRPr="0069793E">
              <w:rPr>
                <w:sz w:val="20"/>
                <w:szCs w:val="20"/>
              </w:rPr>
              <w:t xml:space="preserve"> $ 94.07 </w:t>
            </w:r>
          </w:p>
        </w:tc>
        <w:tc>
          <w:tcPr>
            <w:tcW w:w="1520" w:type="dxa"/>
            <w:noWrap/>
            <w:hideMark/>
          </w:tcPr>
          <w:p w14:paraId="6D6BAC01" w14:textId="77777777" w:rsidR="001C6D45" w:rsidRPr="0069793E" w:rsidRDefault="001C6D45" w:rsidP="00F8518C">
            <w:pPr>
              <w:pStyle w:val="Table"/>
              <w:jc w:val="right"/>
              <w:rPr>
                <w:sz w:val="20"/>
                <w:szCs w:val="20"/>
              </w:rPr>
            </w:pPr>
            <w:r w:rsidRPr="0069793E">
              <w:rPr>
                <w:sz w:val="20"/>
                <w:szCs w:val="20"/>
              </w:rPr>
              <w:t xml:space="preserve"> $121.08 </w:t>
            </w:r>
          </w:p>
        </w:tc>
        <w:tc>
          <w:tcPr>
            <w:tcW w:w="1250" w:type="dxa"/>
            <w:noWrap/>
            <w:hideMark/>
          </w:tcPr>
          <w:p w14:paraId="56B29108" w14:textId="77777777" w:rsidR="001C6D45" w:rsidRPr="0069793E" w:rsidRDefault="001C6D45" w:rsidP="00F8518C">
            <w:pPr>
              <w:pStyle w:val="Table"/>
              <w:jc w:val="right"/>
              <w:rPr>
                <w:sz w:val="20"/>
                <w:szCs w:val="20"/>
              </w:rPr>
            </w:pPr>
            <w:r w:rsidRPr="0069793E">
              <w:rPr>
                <w:sz w:val="20"/>
                <w:szCs w:val="20"/>
              </w:rPr>
              <w:t>-7.5%</w:t>
            </w:r>
          </w:p>
        </w:tc>
        <w:tc>
          <w:tcPr>
            <w:tcW w:w="1639" w:type="dxa"/>
            <w:noWrap/>
            <w:hideMark/>
          </w:tcPr>
          <w:p w14:paraId="1B72C4B0" w14:textId="77777777" w:rsidR="001C6D45" w:rsidRPr="0069793E" w:rsidRDefault="001C6D45" w:rsidP="00F8518C">
            <w:pPr>
              <w:pStyle w:val="Table"/>
              <w:jc w:val="right"/>
              <w:rPr>
                <w:sz w:val="20"/>
                <w:szCs w:val="20"/>
              </w:rPr>
            </w:pPr>
            <w:r w:rsidRPr="0069793E">
              <w:rPr>
                <w:sz w:val="20"/>
                <w:szCs w:val="20"/>
              </w:rPr>
              <w:t xml:space="preserve"> $99.89 </w:t>
            </w:r>
          </w:p>
        </w:tc>
      </w:tr>
      <w:tr w:rsidR="001C6D45" w:rsidRPr="0069793E" w14:paraId="022933EC" w14:textId="77777777" w:rsidTr="00F8518C">
        <w:trPr>
          <w:gridAfter w:val="1"/>
          <w:wAfter w:w="21" w:type="dxa"/>
          <w:trHeight w:val="290"/>
        </w:trPr>
        <w:tc>
          <w:tcPr>
            <w:tcW w:w="2160" w:type="dxa"/>
            <w:noWrap/>
            <w:hideMark/>
          </w:tcPr>
          <w:p w14:paraId="4AB3CAE0" w14:textId="77777777" w:rsidR="001C6D45" w:rsidRPr="0069793E" w:rsidRDefault="001C6D45" w:rsidP="00F8518C">
            <w:pPr>
              <w:pStyle w:val="Table"/>
              <w:rPr>
                <w:sz w:val="20"/>
                <w:szCs w:val="20"/>
              </w:rPr>
            </w:pPr>
            <w:r>
              <w:rPr>
                <w:sz w:val="20"/>
                <w:szCs w:val="20"/>
              </w:rPr>
              <w:t>Apr 2020</w:t>
            </w:r>
          </w:p>
        </w:tc>
        <w:tc>
          <w:tcPr>
            <w:tcW w:w="1350" w:type="dxa"/>
            <w:noWrap/>
            <w:hideMark/>
          </w:tcPr>
          <w:p w14:paraId="6E7AD1EF" w14:textId="77777777" w:rsidR="001C6D45" w:rsidRPr="0069793E" w:rsidRDefault="001C6D45" w:rsidP="00F8518C">
            <w:pPr>
              <w:pStyle w:val="Table"/>
              <w:jc w:val="right"/>
              <w:rPr>
                <w:sz w:val="20"/>
                <w:szCs w:val="20"/>
              </w:rPr>
            </w:pPr>
            <w:r w:rsidRPr="0069793E">
              <w:rPr>
                <w:sz w:val="20"/>
                <w:szCs w:val="20"/>
              </w:rPr>
              <w:t xml:space="preserve"> $110.16 </w:t>
            </w:r>
          </w:p>
        </w:tc>
        <w:tc>
          <w:tcPr>
            <w:tcW w:w="1370" w:type="dxa"/>
            <w:noWrap/>
            <w:hideMark/>
          </w:tcPr>
          <w:p w14:paraId="78D4A080" w14:textId="77777777" w:rsidR="001C6D45" w:rsidRPr="0069793E" w:rsidRDefault="001C6D45" w:rsidP="00F8518C">
            <w:pPr>
              <w:pStyle w:val="Table"/>
              <w:jc w:val="right"/>
              <w:rPr>
                <w:sz w:val="20"/>
                <w:szCs w:val="20"/>
              </w:rPr>
            </w:pPr>
            <w:r w:rsidRPr="0069793E">
              <w:rPr>
                <w:sz w:val="20"/>
                <w:szCs w:val="20"/>
              </w:rPr>
              <w:t>-46.4%</w:t>
            </w:r>
          </w:p>
        </w:tc>
        <w:tc>
          <w:tcPr>
            <w:tcW w:w="1610" w:type="dxa"/>
            <w:noWrap/>
            <w:hideMark/>
          </w:tcPr>
          <w:p w14:paraId="101E573F" w14:textId="77777777" w:rsidR="001C6D45" w:rsidRPr="0069793E" w:rsidRDefault="001C6D45" w:rsidP="00F8518C">
            <w:pPr>
              <w:pStyle w:val="Table"/>
              <w:jc w:val="right"/>
              <w:rPr>
                <w:sz w:val="20"/>
                <w:szCs w:val="20"/>
              </w:rPr>
            </w:pPr>
            <w:r w:rsidRPr="0069793E">
              <w:rPr>
                <w:sz w:val="20"/>
                <w:szCs w:val="20"/>
              </w:rPr>
              <w:t xml:space="preserve"> $ 50.42 </w:t>
            </w:r>
          </w:p>
        </w:tc>
        <w:tc>
          <w:tcPr>
            <w:tcW w:w="1520" w:type="dxa"/>
            <w:noWrap/>
            <w:hideMark/>
          </w:tcPr>
          <w:p w14:paraId="7705D264" w14:textId="77777777" w:rsidR="001C6D45" w:rsidRPr="0069793E" w:rsidRDefault="001C6D45" w:rsidP="00F8518C">
            <w:pPr>
              <w:pStyle w:val="Table"/>
              <w:jc w:val="right"/>
              <w:rPr>
                <w:sz w:val="20"/>
                <w:szCs w:val="20"/>
              </w:rPr>
            </w:pPr>
            <w:r w:rsidRPr="0069793E">
              <w:rPr>
                <w:sz w:val="20"/>
                <w:szCs w:val="20"/>
              </w:rPr>
              <w:t xml:space="preserve"> $121.08 </w:t>
            </w:r>
          </w:p>
        </w:tc>
        <w:tc>
          <w:tcPr>
            <w:tcW w:w="1250" w:type="dxa"/>
            <w:noWrap/>
            <w:hideMark/>
          </w:tcPr>
          <w:p w14:paraId="3565439C" w14:textId="77777777" w:rsidR="001C6D45" w:rsidRPr="0069793E" w:rsidRDefault="001C6D45" w:rsidP="00F8518C">
            <w:pPr>
              <w:pStyle w:val="Table"/>
              <w:jc w:val="right"/>
              <w:rPr>
                <w:sz w:val="20"/>
                <w:szCs w:val="20"/>
              </w:rPr>
            </w:pPr>
            <w:r w:rsidRPr="0069793E">
              <w:rPr>
                <w:sz w:val="20"/>
                <w:szCs w:val="20"/>
              </w:rPr>
              <w:t>-5.5%</w:t>
            </w:r>
          </w:p>
        </w:tc>
        <w:tc>
          <w:tcPr>
            <w:tcW w:w="1639" w:type="dxa"/>
            <w:noWrap/>
            <w:hideMark/>
          </w:tcPr>
          <w:p w14:paraId="08DF8620" w14:textId="77777777" w:rsidR="001C6D45" w:rsidRPr="0069793E" w:rsidRDefault="001C6D45" w:rsidP="00F8518C">
            <w:pPr>
              <w:pStyle w:val="Table"/>
              <w:jc w:val="right"/>
              <w:rPr>
                <w:sz w:val="20"/>
                <w:szCs w:val="20"/>
              </w:rPr>
            </w:pPr>
            <w:r w:rsidRPr="0069793E">
              <w:rPr>
                <w:sz w:val="20"/>
                <w:szCs w:val="20"/>
              </w:rPr>
              <w:t xml:space="preserve"> $34.46 </w:t>
            </w:r>
          </w:p>
        </w:tc>
      </w:tr>
      <w:tr w:rsidR="001C6D45" w:rsidRPr="0069793E" w14:paraId="4E7844DF" w14:textId="77777777" w:rsidTr="00F8518C">
        <w:trPr>
          <w:gridAfter w:val="1"/>
          <w:wAfter w:w="21" w:type="dxa"/>
          <w:trHeight w:val="290"/>
        </w:trPr>
        <w:tc>
          <w:tcPr>
            <w:tcW w:w="2160" w:type="dxa"/>
            <w:noWrap/>
            <w:hideMark/>
          </w:tcPr>
          <w:p w14:paraId="01B9A45A" w14:textId="77777777" w:rsidR="001C6D45" w:rsidRPr="0069793E" w:rsidRDefault="001C6D45" w:rsidP="00F8518C">
            <w:pPr>
              <w:pStyle w:val="Table"/>
              <w:rPr>
                <w:sz w:val="20"/>
                <w:szCs w:val="20"/>
              </w:rPr>
            </w:pPr>
            <w:r>
              <w:rPr>
                <w:sz w:val="20"/>
                <w:szCs w:val="20"/>
              </w:rPr>
              <w:t>May 2020</w:t>
            </w:r>
          </w:p>
        </w:tc>
        <w:tc>
          <w:tcPr>
            <w:tcW w:w="1350" w:type="dxa"/>
            <w:noWrap/>
            <w:hideMark/>
          </w:tcPr>
          <w:p w14:paraId="49E2CC57" w14:textId="77777777" w:rsidR="001C6D45" w:rsidRPr="0069793E" w:rsidRDefault="001C6D45" w:rsidP="00F8518C">
            <w:pPr>
              <w:pStyle w:val="Table"/>
              <w:jc w:val="right"/>
              <w:rPr>
                <w:sz w:val="20"/>
                <w:szCs w:val="20"/>
              </w:rPr>
            </w:pPr>
            <w:r w:rsidRPr="0069793E">
              <w:rPr>
                <w:sz w:val="20"/>
                <w:szCs w:val="20"/>
              </w:rPr>
              <w:t xml:space="preserve"> $110.16 </w:t>
            </w:r>
          </w:p>
        </w:tc>
        <w:tc>
          <w:tcPr>
            <w:tcW w:w="1370" w:type="dxa"/>
            <w:noWrap/>
            <w:hideMark/>
          </w:tcPr>
          <w:p w14:paraId="1CC6068F" w14:textId="77777777" w:rsidR="001C6D45" w:rsidRPr="0069793E" w:rsidRDefault="001C6D45" w:rsidP="00F8518C">
            <w:pPr>
              <w:pStyle w:val="Table"/>
              <w:jc w:val="right"/>
              <w:rPr>
                <w:sz w:val="20"/>
                <w:szCs w:val="20"/>
              </w:rPr>
            </w:pPr>
            <w:r w:rsidRPr="0069793E">
              <w:rPr>
                <w:sz w:val="20"/>
                <w:szCs w:val="20"/>
              </w:rPr>
              <w:t>-50.4%</w:t>
            </w:r>
          </w:p>
        </w:tc>
        <w:tc>
          <w:tcPr>
            <w:tcW w:w="1610" w:type="dxa"/>
            <w:noWrap/>
            <w:hideMark/>
          </w:tcPr>
          <w:p w14:paraId="73F66FCB" w14:textId="77777777" w:rsidR="001C6D45" w:rsidRPr="0069793E" w:rsidRDefault="001C6D45" w:rsidP="00F8518C">
            <w:pPr>
              <w:pStyle w:val="Table"/>
              <w:jc w:val="right"/>
              <w:rPr>
                <w:sz w:val="20"/>
                <w:szCs w:val="20"/>
              </w:rPr>
            </w:pPr>
            <w:r w:rsidRPr="0069793E">
              <w:rPr>
                <w:sz w:val="20"/>
                <w:szCs w:val="20"/>
              </w:rPr>
              <w:t xml:space="preserve"> $ 25.01 </w:t>
            </w:r>
          </w:p>
        </w:tc>
        <w:tc>
          <w:tcPr>
            <w:tcW w:w="1520" w:type="dxa"/>
            <w:noWrap/>
            <w:hideMark/>
          </w:tcPr>
          <w:p w14:paraId="502BA266" w14:textId="77777777" w:rsidR="001C6D45" w:rsidRPr="0069793E" w:rsidRDefault="001C6D45" w:rsidP="00F8518C">
            <w:pPr>
              <w:pStyle w:val="Table"/>
              <w:jc w:val="right"/>
              <w:rPr>
                <w:sz w:val="20"/>
                <w:szCs w:val="20"/>
              </w:rPr>
            </w:pPr>
            <w:r w:rsidRPr="0069793E">
              <w:rPr>
                <w:sz w:val="20"/>
                <w:szCs w:val="20"/>
              </w:rPr>
              <w:t xml:space="preserve"> $121.08 </w:t>
            </w:r>
          </w:p>
        </w:tc>
        <w:tc>
          <w:tcPr>
            <w:tcW w:w="1250" w:type="dxa"/>
            <w:noWrap/>
            <w:hideMark/>
          </w:tcPr>
          <w:p w14:paraId="35021360" w14:textId="77777777" w:rsidR="001C6D45" w:rsidRPr="0069793E" w:rsidRDefault="001C6D45" w:rsidP="00F8518C">
            <w:pPr>
              <w:pStyle w:val="Table"/>
              <w:jc w:val="right"/>
              <w:rPr>
                <w:sz w:val="20"/>
                <w:szCs w:val="20"/>
              </w:rPr>
            </w:pPr>
            <w:r w:rsidRPr="0069793E">
              <w:rPr>
                <w:sz w:val="20"/>
                <w:szCs w:val="20"/>
              </w:rPr>
              <w:t>-7.3%</w:t>
            </w:r>
          </w:p>
        </w:tc>
        <w:tc>
          <w:tcPr>
            <w:tcW w:w="1639" w:type="dxa"/>
            <w:noWrap/>
            <w:hideMark/>
          </w:tcPr>
          <w:p w14:paraId="2BAE0811" w14:textId="77777777" w:rsidR="001C6D45" w:rsidRPr="0069793E" w:rsidRDefault="001C6D45" w:rsidP="00F8518C">
            <w:pPr>
              <w:pStyle w:val="Table"/>
              <w:jc w:val="right"/>
              <w:rPr>
                <w:sz w:val="20"/>
                <w:szCs w:val="20"/>
              </w:rPr>
            </w:pPr>
            <w:r w:rsidRPr="0069793E">
              <w:rPr>
                <w:sz w:val="20"/>
                <w:szCs w:val="20"/>
              </w:rPr>
              <w:t xml:space="preserve"> $11.27 </w:t>
            </w:r>
          </w:p>
        </w:tc>
      </w:tr>
      <w:tr w:rsidR="001C6D45" w:rsidRPr="0069793E" w14:paraId="17ACCBE2" w14:textId="77777777" w:rsidTr="00F8518C">
        <w:trPr>
          <w:gridAfter w:val="1"/>
          <w:wAfter w:w="21" w:type="dxa"/>
          <w:trHeight w:val="290"/>
        </w:trPr>
        <w:tc>
          <w:tcPr>
            <w:tcW w:w="2160" w:type="dxa"/>
            <w:noWrap/>
            <w:hideMark/>
          </w:tcPr>
          <w:p w14:paraId="76F710E6" w14:textId="77777777" w:rsidR="001C6D45" w:rsidRPr="0069793E" w:rsidRDefault="001C6D45" w:rsidP="00F8518C">
            <w:pPr>
              <w:pStyle w:val="Table"/>
              <w:rPr>
                <w:sz w:val="20"/>
                <w:szCs w:val="20"/>
              </w:rPr>
            </w:pPr>
            <w:r>
              <w:rPr>
                <w:sz w:val="20"/>
                <w:szCs w:val="20"/>
              </w:rPr>
              <w:t>Jun 2020</w:t>
            </w:r>
          </w:p>
        </w:tc>
        <w:tc>
          <w:tcPr>
            <w:tcW w:w="1350" w:type="dxa"/>
            <w:noWrap/>
            <w:hideMark/>
          </w:tcPr>
          <w:p w14:paraId="7F504B5A" w14:textId="77777777" w:rsidR="001C6D45" w:rsidRPr="0069793E" w:rsidRDefault="001C6D45" w:rsidP="00F8518C">
            <w:pPr>
              <w:pStyle w:val="Table"/>
              <w:jc w:val="right"/>
              <w:rPr>
                <w:sz w:val="20"/>
                <w:szCs w:val="20"/>
              </w:rPr>
            </w:pPr>
            <w:r w:rsidRPr="0069793E">
              <w:rPr>
                <w:sz w:val="20"/>
                <w:szCs w:val="20"/>
              </w:rPr>
              <w:t xml:space="preserve"> $110.16 </w:t>
            </w:r>
          </w:p>
        </w:tc>
        <w:tc>
          <w:tcPr>
            <w:tcW w:w="1370" w:type="dxa"/>
            <w:noWrap/>
            <w:hideMark/>
          </w:tcPr>
          <w:p w14:paraId="4667A904" w14:textId="77777777" w:rsidR="001C6D45" w:rsidRPr="0069793E" w:rsidRDefault="001C6D45" w:rsidP="00F8518C">
            <w:pPr>
              <w:pStyle w:val="Table"/>
              <w:jc w:val="right"/>
              <w:rPr>
                <w:sz w:val="20"/>
                <w:szCs w:val="20"/>
              </w:rPr>
            </w:pPr>
            <w:r w:rsidRPr="0069793E">
              <w:rPr>
                <w:sz w:val="20"/>
                <w:szCs w:val="20"/>
              </w:rPr>
              <w:t>-50.0%</w:t>
            </w:r>
          </w:p>
        </w:tc>
        <w:tc>
          <w:tcPr>
            <w:tcW w:w="1610" w:type="dxa"/>
            <w:noWrap/>
            <w:hideMark/>
          </w:tcPr>
          <w:p w14:paraId="11CBD8E5" w14:textId="77777777" w:rsidR="001C6D45" w:rsidRPr="0069793E" w:rsidRDefault="001C6D45" w:rsidP="00F8518C">
            <w:pPr>
              <w:pStyle w:val="Table"/>
              <w:jc w:val="right"/>
              <w:rPr>
                <w:sz w:val="20"/>
                <w:szCs w:val="20"/>
              </w:rPr>
            </w:pPr>
            <w:r w:rsidRPr="0069793E">
              <w:rPr>
                <w:sz w:val="20"/>
                <w:szCs w:val="20"/>
              </w:rPr>
              <w:t xml:space="preserve"> $ 12.50 </w:t>
            </w:r>
          </w:p>
        </w:tc>
        <w:tc>
          <w:tcPr>
            <w:tcW w:w="1520" w:type="dxa"/>
            <w:noWrap/>
            <w:hideMark/>
          </w:tcPr>
          <w:p w14:paraId="544C85E2" w14:textId="77777777" w:rsidR="001C6D45" w:rsidRPr="0069793E" w:rsidRDefault="001C6D45" w:rsidP="00F8518C">
            <w:pPr>
              <w:pStyle w:val="Table"/>
              <w:jc w:val="right"/>
              <w:rPr>
                <w:sz w:val="20"/>
                <w:szCs w:val="20"/>
              </w:rPr>
            </w:pPr>
            <w:r w:rsidRPr="0069793E">
              <w:rPr>
                <w:sz w:val="20"/>
                <w:szCs w:val="20"/>
              </w:rPr>
              <w:t xml:space="preserve"> $121.08 </w:t>
            </w:r>
          </w:p>
        </w:tc>
        <w:tc>
          <w:tcPr>
            <w:tcW w:w="1250" w:type="dxa"/>
            <w:noWrap/>
            <w:hideMark/>
          </w:tcPr>
          <w:p w14:paraId="16B90DE4" w14:textId="77777777" w:rsidR="001C6D45" w:rsidRPr="0069793E" w:rsidRDefault="001C6D45" w:rsidP="00F8518C">
            <w:pPr>
              <w:pStyle w:val="Table"/>
              <w:jc w:val="right"/>
              <w:rPr>
                <w:sz w:val="20"/>
                <w:szCs w:val="20"/>
              </w:rPr>
            </w:pPr>
            <w:r w:rsidRPr="0069793E">
              <w:rPr>
                <w:sz w:val="20"/>
                <w:szCs w:val="20"/>
              </w:rPr>
              <w:t>-6.90%</w:t>
            </w:r>
          </w:p>
        </w:tc>
        <w:tc>
          <w:tcPr>
            <w:tcW w:w="1639" w:type="dxa"/>
            <w:noWrap/>
            <w:hideMark/>
          </w:tcPr>
          <w:p w14:paraId="54568EB0" w14:textId="77777777" w:rsidR="001C6D45" w:rsidRPr="0069793E" w:rsidRDefault="001C6D45" w:rsidP="00F8518C">
            <w:pPr>
              <w:pStyle w:val="Table"/>
              <w:jc w:val="right"/>
              <w:rPr>
                <w:sz w:val="20"/>
                <w:szCs w:val="20"/>
              </w:rPr>
            </w:pPr>
            <w:r w:rsidRPr="0069793E">
              <w:rPr>
                <w:sz w:val="20"/>
                <w:szCs w:val="20"/>
              </w:rPr>
              <w:t xml:space="preserve"> $  4.86 </w:t>
            </w:r>
          </w:p>
        </w:tc>
      </w:tr>
      <w:tr w:rsidR="001C6D45" w:rsidRPr="0069793E" w14:paraId="0359AB18" w14:textId="77777777" w:rsidTr="00F8518C">
        <w:trPr>
          <w:gridAfter w:val="1"/>
          <w:wAfter w:w="21" w:type="dxa"/>
          <w:trHeight w:val="290"/>
        </w:trPr>
        <w:tc>
          <w:tcPr>
            <w:tcW w:w="2160" w:type="dxa"/>
            <w:noWrap/>
            <w:hideMark/>
          </w:tcPr>
          <w:p w14:paraId="5B165DB0" w14:textId="77777777" w:rsidR="001C6D45" w:rsidRPr="0069793E" w:rsidRDefault="001C6D45" w:rsidP="00F8518C">
            <w:pPr>
              <w:pStyle w:val="Table"/>
              <w:rPr>
                <w:sz w:val="20"/>
                <w:szCs w:val="20"/>
              </w:rPr>
            </w:pPr>
            <w:r>
              <w:rPr>
                <w:sz w:val="20"/>
                <w:szCs w:val="20"/>
              </w:rPr>
              <w:t>Jul 2020</w:t>
            </w:r>
          </w:p>
        </w:tc>
        <w:tc>
          <w:tcPr>
            <w:tcW w:w="1350" w:type="dxa"/>
            <w:noWrap/>
            <w:hideMark/>
          </w:tcPr>
          <w:p w14:paraId="041518CF" w14:textId="77777777" w:rsidR="001C6D45" w:rsidRPr="0069793E" w:rsidRDefault="001C6D45" w:rsidP="00F8518C">
            <w:pPr>
              <w:pStyle w:val="Table"/>
              <w:jc w:val="right"/>
              <w:rPr>
                <w:sz w:val="20"/>
                <w:szCs w:val="20"/>
              </w:rPr>
            </w:pPr>
            <w:r w:rsidRPr="0069793E">
              <w:rPr>
                <w:sz w:val="20"/>
                <w:szCs w:val="20"/>
              </w:rPr>
              <w:t xml:space="preserve"> $110.16 </w:t>
            </w:r>
          </w:p>
        </w:tc>
        <w:tc>
          <w:tcPr>
            <w:tcW w:w="1370" w:type="dxa"/>
            <w:noWrap/>
            <w:hideMark/>
          </w:tcPr>
          <w:p w14:paraId="386577F2" w14:textId="77777777" w:rsidR="001C6D45" w:rsidRPr="0069793E" w:rsidRDefault="001C6D45" w:rsidP="00F8518C">
            <w:pPr>
              <w:pStyle w:val="Table"/>
              <w:jc w:val="right"/>
              <w:rPr>
                <w:sz w:val="20"/>
                <w:szCs w:val="20"/>
              </w:rPr>
            </w:pPr>
            <w:r w:rsidRPr="0069793E">
              <w:rPr>
                <w:sz w:val="20"/>
                <w:szCs w:val="20"/>
              </w:rPr>
              <w:t>-50.0%</w:t>
            </w:r>
          </w:p>
        </w:tc>
        <w:tc>
          <w:tcPr>
            <w:tcW w:w="1610" w:type="dxa"/>
            <w:noWrap/>
            <w:hideMark/>
          </w:tcPr>
          <w:p w14:paraId="27B741FA" w14:textId="77777777" w:rsidR="001C6D45" w:rsidRPr="0069793E" w:rsidRDefault="001C6D45" w:rsidP="00F8518C">
            <w:pPr>
              <w:pStyle w:val="Table"/>
              <w:jc w:val="right"/>
              <w:rPr>
                <w:sz w:val="20"/>
                <w:szCs w:val="20"/>
              </w:rPr>
            </w:pPr>
            <w:r w:rsidRPr="0069793E">
              <w:rPr>
                <w:sz w:val="20"/>
                <w:szCs w:val="20"/>
              </w:rPr>
              <w:t xml:space="preserve"> $6.25 </w:t>
            </w:r>
          </w:p>
        </w:tc>
        <w:tc>
          <w:tcPr>
            <w:tcW w:w="1520" w:type="dxa"/>
            <w:noWrap/>
            <w:hideMark/>
          </w:tcPr>
          <w:p w14:paraId="3C6ADD1A" w14:textId="77777777" w:rsidR="001C6D45" w:rsidRPr="0069793E" w:rsidRDefault="001C6D45" w:rsidP="00F8518C">
            <w:pPr>
              <w:pStyle w:val="Table"/>
              <w:jc w:val="right"/>
              <w:rPr>
                <w:sz w:val="20"/>
                <w:szCs w:val="20"/>
              </w:rPr>
            </w:pPr>
            <w:r w:rsidRPr="0069793E">
              <w:rPr>
                <w:sz w:val="20"/>
                <w:szCs w:val="20"/>
              </w:rPr>
              <w:t xml:space="preserve"> $121.08 </w:t>
            </w:r>
          </w:p>
        </w:tc>
        <w:tc>
          <w:tcPr>
            <w:tcW w:w="1250" w:type="dxa"/>
            <w:noWrap/>
            <w:hideMark/>
          </w:tcPr>
          <w:p w14:paraId="6AB0FAA5" w14:textId="77777777" w:rsidR="001C6D45" w:rsidRPr="0069793E" w:rsidRDefault="001C6D45" w:rsidP="00F8518C">
            <w:pPr>
              <w:pStyle w:val="Table"/>
              <w:jc w:val="right"/>
              <w:rPr>
                <w:sz w:val="20"/>
                <w:szCs w:val="20"/>
              </w:rPr>
            </w:pPr>
            <w:r w:rsidRPr="0069793E">
              <w:rPr>
                <w:sz w:val="20"/>
                <w:szCs w:val="20"/>
              </w:rPr>
              <w:t>-50.0%</w:t>
            </w:r>
          </w:p>
        </w:tc>
        <w:tc>
          <w:tcPr>
            <w:tcW w:w="1639" w:type="dxa"/>
            <w:noWrap/>
            <w:hideMark/>
          </w:tcPr>
          <w:p w14:paraId="228C81BB" w14:textId="77777777" w:rsidR="001C6D45" w:rsidRPr="0069793E" w:rsidRDefault="001C6D45" w:rsidP="00F8518C">
            <w:pPr>
              <w:pStyle w:val="Table"/>
              <w:jc w:val="right"/>
              <w:rPr>
                <w:sz w:val="20"/>
                <w:szCs w:val="20"/>
              </w:rPr>
            </w:pPr>
            <w:r w:rsidRPr="0069793E">
              <w:rPr>
                <w:sz w:val="20"/>
                <w:szCs w:val="20"/>
              </w:rPr>
              <w:t xml:space="preserve"> $  2.43 </w:t>
            </w:r>
          </w:p>
        </w:tc>
      </w:tr>
      <w:tr w:rsidR="001C6D45" w:rsidRPr="0069793E" w14:paraId="65F3B4A8" w14:textId="77777777" w:rsidTr="00F8518C">
        <w:trPr>
          <w:gridAfter w:val="1"/>
          <w:wAfter w:w="21" w:type="dxa"/>
          <w:trHeight w:val="290"/>
        </w:trPr>
        <w:tc>
          <w:tcPr>
            <w:tcW w:w="2160" w:type="dxa"/>
            <w:noWrap/>
            <w:hideMark/>
          </w:tcPr>
          <w:p w14:paraId="22056820" w14:textId="77777777" w:rsidR="001C6D45" w:rsidRPr="0069793E" w:rsidRDefault="001C6D45" w:rsidP="00F8518C">
            <w:pPr>
              <w:pStyle w:val="Table"/>
              <w:rPr>
                <w:sz w:val="20"/>
                <w:szCs w:val="20"/>
              </w:rPr>
            </w:pPr>
            <w:r>
              <w:rPr>
                <w:sz w:val="20"/>
                <w:szCs w:val="20"/>
              </w:rPr>
              <w:t>Aug 2020</w:t>
            </w:r>
          </w:p>
        </w:tc>
        <w:tc>
          <w:tcPr>
            <w:tcW w:w="1350" w:type="dxa"/>
            <w:noWrap/>
            <w:hideMark/>
          </w:tcPr>
          <w:p w14:paraId="44785423" w14:textId="77777777" w:rsidR="001C6D45" w:rsidRPr="0069793E" w:rsidRDefault="001C6D45" w:rsidP="00F8518C">
            <w:pPr>
              <w:pStyle w:val="Table"/>
              <w:jc w:val="right"/>
              <w:rPr>
                <w:sz w:val="20"/>
                <w:szCs w:val="20"/>
              </w:rPr>
            </w:pPr>
            <w:r w:rsidRPr="0069793E">
              <w:rPr>
                <w:sz w:val="20"/>
                <w:szCs w:val="20"/>
              </w:rPr>
              <w:t xml:space="preserve"> $110.16 </w:t>
            </w:r>
          </w:p>
        </w:tc>
        <w:tc>
          <w:tcPr>
            <w:tcW w:w="1370" w:type="dxa"/>
            <w:noWrap/>
            <w:hideMark/>
          </w:tcPr>
          <w:p w14:paraId="5740AB9D" w14:textId="77777777" w:rsidR="001C6D45" w:rsidRPr="0069793E" w:rsidRDefault="001C6D45" w:rsidP="00F8518C">
            <w:pPr>
              <w:pStyle w:val="Table"/>
              <w:jc w:val="right"/>
              <w:rPr>
                <w:sz w:val="20"/>
                <w:szCs w:val="20"/>
              </w:rPr>
            </w:pPr>
            <w:r w:rsidRPr="0069793E">
              <w:rPr>
                <w:sz w:val="20"/>
                <w:szCs w:val="20"/>
              </w:rPr>
              <w:t>-50.0%</w:t>
            </w:r>
          </w:p>
        </w:tc>
        <w:tc>
          <w:tcPr>
            <w:tcW w:w="1610" w:type="dxa"/>
            <w:noWrap/>
            <w:hideMark/>
          </w:tcPr>
          <w:p w14:paraId="67048B43" w14:textId="77777777" w:rsidR="001C6D45" w:rsidRPr="0069793E" w:rsidRDefault="001C6D45" w:rsidP="00F8518C">
            <w:pPr>
              <w:pStyle w:val="Table"/>
              <w:jc w:val="right"/>
              <w:rPr>
                <w:sz w:val="20"/>
                <w:szCs w:val="20"/>
              </w:rPr>
            </w:pPr>
            <w:r w:rsidRPr="0069793E">
              <w:rPr>
                <w:sz w:val="20"/>
                <w:szCs w:val="20"/>
              </w:rPr>
              <w:t xml:space="preserve"> $3.13 </w:t>
            </w:r>
          </w:p>
        </w:tc>
        <w:tc>
          <w:tcPr>
            <w:tcW w:w="1520" w:type="dxa"/>
            <w:noWrap/>
            <w:hideMark/>
          </w:tcPr>
          <w:p w14:paraId="345F7264" w14:textId="77777777" w:rsidR="001C6D45" w:rsidRPr="0069793E" w:rsidRDefault="001C6D45" w:rsidP="00F8518C">
            <w:pPr>
              <w:pStyle w:val="Table"/>
              <w:jc w:val="right"/>
              <w:rPr>
                <w:sz w:val="20"/>
                <w:szCs w:val="20"/>
              </w:rPr>
            </w:pPr>
            <w:r w:rsidRPr="0069793E">
              <w:rPr>
                <w:sz w:val="20"/>
                <w:szCs w:val="20"/>
              </w:rPr>
              <w:t xml:space="preserve"> $121.08 </w:t>
            </w:r>
          </w:p>
        </w:tc>
        <w:tc>
          <w:tcPr>
            <w:tcW w:w="1250" w:type="dxa"/>
            <w:noWrap/>
            <w:hideMark/>
          </w:tcPr>
          <w:p w14:paraId="4CB43321" w14:textId="77777777" w:rsidR="001C6D45" w:rsidRPr="0069793E" w:rsidRDefault="001C6D45" w:rsidP="00F8518C">
            <w:pPr>
              <w:pStyle w:val="Table"/>
              <w:jc w:val="right"/>
              <w:rPr>
                <w:sz w:val="20"/>
                <w:szCs w:val="20"/>
              </w:rPr>
            </w:pPr>
            <w:r w:rsidRPr="0069793E">
              <w:rPr>
                <w:sz w:val="20"/>
                <w:szCs w:val="20"/>
              </w:rPr>
              <w:t>-50.0%</w:t>
            </w:r>
          </w:p>
        </w:tc>
        <w:tc>
          <w:tcPr>
            <w:tcW w:w="1639" w:type="dxa"/>
            <w:noWrap/>
            <w:hideMark/>
          </w:tcPr>
          <w:p w14:paraId="381A59CC" w14:textId="77777777" w:rsidR="001C6D45" w:rsidRPr="0069793E" w:rsidRDefault="001C6D45" w:rsidP="00F8518C">
            <w:pPr>
              <w:pStyle w:val="Table"/>
              <w:jc w:val="right"/>
              <w:rPr>
                <w:sz w:val="20"/>
                <w:szCs w:val="20"/>
              </w:rPr>
            </w:pPr>
            <w:r w:rsidRPr="0069793E">
              <w:rPr>
                <w:sz w:val="20"/>
                <w:szCs w:val="20"/>
              </w:rPr>
              <w:t xml:space="preserve"> $  1.22 </w:t>
            </w:r>
          </w:p>
        </w:tc>
      </w:tr>
      <w:tr w:rsidR="001C6D45" w:rsidRPr="0069793E" w14:paraId="1D1BEE68" w14:textId="77777777" w:rsidTr="00F8518C">
        <w:trPr>
          <w:gridAfter w:val="1"/>
          <w:wAfter w:w="21" w:type="dxa"/>
          <w:trHeight w:val="290"/>
        </w:trPr>
        <w:tc>
          <w:tcPr>
            <w:tcW w:w="2160" w:type="dxa"/>
            <w:tcBorders>
              <w:bottom w:val="single" w:sz="4" w:space="0" w:color="auto"/>
            </w:tcBorders>
            <w:noWrap/>
            <w:hideMark/>
          </w:tcPr>
          <w:p w14:paraId="51669128" w14:textId="77777777" w:rsidR="001C6D45" w:rsidRPr="0069793E" w:rsidRDefault="001C6D45" w:rsidP="00F8518C">
            <w:pPr>
              <w:pStyle w:val="Table"/>
              <w:rPr>
                <w:b/>
                <w:bCs/>
                <w:sz w:val="20"/>
                <w:szCs w:val="20"/>
              </w:rPr>
            </w:pPr>
            <w:r w:rsidRPr="0069793E">
              <w:rPr>
                <w:b/>
                <w:bCs/>
                <w:sz w:val="20"/>
                <w:szCs w:val="20"/>
              </w:rPr>
              <w:t>Total</w:t>
            </w:r>
          </w:p>
        </w:tc>
        <w:tc>
          <w:tcPr>
            <w:tcW w:w="1350" w:type="dxa"/>
            <w:tcBorders>
              <w:bottom w:val="single" w:sz="4" w:space="0" w:color="auto"/>
            </w:tcBorders>
            <w:noWrap/>
            <w:hideMark/>
          </w:tcPr>
          <w:p w14:paraId="66DB9C99" w14:textId="77777777" w:rsidR="001C6D45" w:rsidRPr="0069793E" w:rsidRDefault="001C6D45" w:rsidP="00F8518C">
            <w:pPr>
              <w:pStyle w:val="Table"/>
              <w:jc w:val="right"/>
              <w:rPr>
                <w:b/>
                <w:bCs/>
                <w:sz w:val="20"/>
                <w:szCs w:val="20"/>
              </w:rPr>
            </w:pPr>
            <w:r w:rsidRPr="0069793E">
              <w:rPr>
                <w:b/>
                <w:bCs/>
                <w:sz w:val="20"/>
                <w:szCs w:val="20"/>
              </w:rPr>
              <w:t xml:space="preserve"> $  1,321.86 </w:t>
            </w:r>
          </w:p>
        </w:tc>
        <w:tc>
          <w:tcPr>
            <w:tcW w:w="1370" w:type="dxa"/>
            <w:tcBorders>
              <w:bottom w:val="single" w:sz="4" w:space="0" w:color="auto"/>
            </w:tcBorders>
            <w:noWrap/>
            <w:hideMark/>
          </w:tcPr>
          <w:p w14:paraId="12137718" w14:textId="77777777" w:rsidR="001C6D45" w:rsidRPr="0069793E" w:rsidRDefault="001C6D45" w:rsidP="00F8518C">
            <w:pPr>
              <w:pStyle w:val="Table"/>
              <w:jc w:val="right"/>
              <w:rPr>
                <w:b/>
                <w:bCs/>
                <w:sz w:val="20"/>
                <w:szCs w:val="20"/>
              </w:rPr>
            </w:pPr>
          </w:p>
        </w:tc>
        <w:tc>
          <w:tcPr>
            <w:tcW w:w="1610" w:type="dxa"/>
            <w:tcBorders>
              <w:bottom w:val="single" w:sz="4" w:space="0" w:color="auto"/>
            </w:tcBorders>
            <w:noWrap/>
            <w:hideMark/>
          </w:tcPr>
          <w:p w14:paraId="0FCCA193" w14:textId="77777777" w:rsidR="001C6D45" w:rsidRPr="0069793E" w:rsidRDefault="001C6D45" w:rsidP="00F8518C">
            <w:pPr>
              <w:pStyle w:val="Table"/>
              <w:jc w:val="right"/>
              <w:rPr>
                <w:b/>
                <w:bCs/>
                <w:sz w:val="20"/>
                <w:szCs w:val="20"/>
              </w:rPr>
            </w:pPr>
            <w:r w:rsidRPr="0069793E">
              <w:rPr>
                <w:b/>
                <w:bCs/>
                <w:sz w:val="20"/>
                <w:szCs w:val="20"/>
              </w:rPr>
              <w:t xml:space="preserve"> $ 852.32 </w:t>
            </w:r>
          </w:p>
        </w:tc>
        <w:tc>
          <w:tcPr>
            <w:tcW w:w="1520" w:type="dxa"/>
            <w:noWrap/>
            <w:hideMark/>
          </w:tcPr>
          <w:p w14:paraId="385F2D50" w14:textId="77777777" w:rsidR="001C6D45" w:rsidRPr="0069793E" w:rsidRDefault="001C6D45" w:rsidP="00F8518C">
            <w:pPr>
              <w:pStyle w:val="Table"/>
              <w:jc w:val="right"/>
              <w:rPr>
                <w:b/>
                <w:bCs/>
                <w:sz w:val="20"/>
                <w:szCs w:val="20"/>
              </w:rPr>
            </w:pPr>
            <w:r w:rsidRPr="0069793E">
              <w:rPr>
                <w:b/>
                <w:bCs/>
                <w:sz w:val="20"/>
                <w:szCs w:val="20"/>
              </w:rPr>
              <w:t xml:space="preserve"> $1,453.01 </w:t>
            </w:r>
          </w:p>
        </w:tc>
        <w:tc>
          <w:tcPr>
            <w:tcW w:w="1250" w:type="dxa"/>
            <w:noWrap/>
            <w:hideMark/>
          </w:tcPr>
          <w:p w14:paraId="365A36A5" w14:textId="77777777" w:rsidR="001C6D45" w:rsidRPr="0069793E" w:rsidRDefault="001C6D45" w:rsidP="00F8518C">
            <w:pPr>
              <w:pStyle w:val="Table"/>
              <w:jc w:val="right"/>
              <w:rPr>
                <w:b/>
                <w:bCs/>
                <w:sz w:val="20"/>
                <w:szCs w:val="20"/>
              </w:rPr>
            </w:pPr>
          </w:p>
        </w:tc>
        <w:tc>
          <w:tcPr>
            <w:tcW w:w="1639" w:type="dxa"/>
            <w:noWrap/>
            <w:hideMark/>
          </w:tcPr>
          <w:p w14:paraId="3DEF36F3" w14:textId="77777777" w:rsidR="001C6D45" w:rsidRPr="0069793E" w:rsidRDefault="001C6D45" w:rsidP="00F8518C">
            <w:pPr>
              <w:pStyle w:val="Table"/>
              <w:jc w:val="right"/>
              <w:rPr>
                <w:b/>
                <w:bCs/>
                <w:sz w:val="20"/>
                <w:szCs w:val="20"/>
              </w:rPr>
            </w:pPr>
            <w:r w:rsidRPr="0069793E">
              <w:rPr>
                <w:b/>
                <w:bCs/>
                <w:sz w:val="20"/>
                <w:szCs w:val="20"/>
              </w:rPr>
              <w:t xml:space="preserve"> $ 880.64 </w:t>
            </w:r>
          </w:p>
        </w:tc>
      </w:tr>
      <w:tr w:rsidR="001C6D45" w:rsidRPr="0069793E" w14:paraId="7DDBF3B4" w14:textId="77777777" w:rsidTr="00F8518C">
        <w:trPr>
          <w:trHeight w:val="290"/>
        </w:trPr>
        <w:tc>
          <w:tcPr>
            <w:tcW w:w="4885" w:type="dxa"/>
            <w:gridSpan w:val="3"/>
            <w:tcBorders>
              <w:right w:val="nil"/>
            </w:tcBorders>
            <w:noWrap/>
            <w:hideMark/>
          </w:tcPr>
          <w:p w14:paraId="5395D55C" w14:textId="77777777" w:rsidR="001C6D45" w:rsidRPr="0069793E" w:rsidRDefault="001C6D45" w:rsidP="00F8518C">
            <w:pPr>
              <w:pStyle w:val="Table"/>
              <w:rPr>
                <w:b/>
                <w:bCs/>
                <w:sz w:val="20"/>
                <w:szCs w:val="20"/>
              </w:rPr>
            </w:pPr>
            <w:r w:rsidRPr="0069793E">
              <w:rPr>
                <w:b/>
                <w:bCs/>
                <w:sz w:val="20"/>
                <w:szCs w:val="20"/>
              </w:rPr>
              <w:t>Estimated decrease in advertising revenues</w:t>
            </w:r>
            <w:r>
              <w:rPr>
                <w:b/>
                <w:bCs/>
                <w:sz w:val="20"/>
                <w:szCs w:val="20"/>
              </w:rPr>
              <w:t xml:space="preserve"> compared to 2018/19</w:t>
            </w:r>
          </w:p>
        </w:tc>
        <w:tc>
          <w:tcPr>
            <w:tcW w:w="1610" w:type="dxa"/>
            <w:tcBorders>
              <w:left w:val="nil"/>
            </w:tcBorders>
            <w:noWrap/>
            <w:hideMark/>
          </w:tcPr>
          <w:p w14:paraId="36271280" w14:textId="77777777" w:rsidR="001C6D45" w:rsidRPr="0069793E" w:rsidRDefault="001C6D45" w:rsidP="00F8518C">
            <w:pPr>
              <w:pStyle w:val="Table"/>
              <w:jc w:val="right"/>
              <w:rPr>
                <w:b/>
                <w:bCs/>
                <w:sz w:val="20"/>
                <w:szCs w:val="20"/>
              </w:rPr>
            </w:pPr>
            <w:r w:rsidRPr="0069793E">
              <w:rPr>
                <w:b/>
                <w:bCs/>
                <w:sz w:val="20"/>
                <w:szCs w:val="20"/>
              </w:rPr>
              <w:t>-35.5%</w:t>
            </w:r>
          </w:p>
        </w:tc>
        <w:tc>
          <w:tcPr>
            <w:tcW w:w="4425" w:type="dxa"/>
            <w:gridSpan w:val="4"/>
            <w:noWrap/>
            <w:hideMark/>
          </w:tcPr>
          <w:p w14:paraId="13FD7771" w14:textId="77777777" w:rsidR="001C6D45" w:rsidRPr="0069793E" w:rsidRDefault="001C6D45" w:rsidP="00F8518C">
            <w:pPr>
              <w:pStyle w:val="Table"/>
              <w:jc w:val="right"/>
              <w:rPr>
                <w:b/>
                <w:bCs/>
                <w:sz w:val="20"/>
                <w:szCs w:val="20"/>
              </w:rPr>
            </w:pPr>
            <w:r w:rsidRPr="0069793E">
              <w:rPr>
                <w:b/>
                <w:bCs/>
                <w:sz w:val="20"/>
                <w:szCs w:val="20"/>
              </w:rPr>
              <w:t>-39.4%</w:t>
            </w:r>
          </w:p>
        </w:tc>
      </w:tr>
    </w:tbl>
    <w:p w14:paraId="3DB73EA8" w14:textId="77777777" w:rsidR="001C6D45" w:rsidRDefault="001C6D45" w:rsidP="008B5690">
      <w:pPr>
        <w:pStyle w:val="FRPCintPara"/>
        <w:numPr>
          <w:ilvl w:val="0"/>
          <w:numId w:val="0"/>
        </w:numPr>
        <w:ind w:left="720" w:hanging="720"/>
        <w:sectPr w:rsidR="001C6D45" w:rsidSect="00EB7E64">
          <w:headerReference w:type="default" r:id="rId19"/>
          <w:pgSz w:w="12240" w:h="15840"/>
          <w:pgMar w:top="1440" w:right="1440" w:bottom="1440" w:left="1440" w:header="708" w:footer="708" w:gutter="0"/>
          <w:pgNumType w:start="1"/>
          <w:cols w:space="708"/>
          <w:docGrid w:linePitch="360"/>
        </w:sectPr>
      </w:pPr>
    </w:p>
    <w:p w14:paraId="7D13CDF3" w14:textId="5D555AEF" w:rsidR="001C6D45" w:rsidRDefault="00172551" w:rsidP="00172551">
      <w:pPr>
        <w:pStyle w:val="Caption"/>
      </w:pPr>
      <w:bookmarkStart w:id="54" w:name="_Ref53985976"/>
      <w:bookmarkStart w:id="55" w:name="_Toc54006643"/>
      <w:bookmarkStart w:id="56" w:name="_Toc54021146"/>
      <w:r>
        <w:lastRenderedPageBreak/>
        <w:t xml:space="preserve">Appendix </w:t>
      </w:r>
      <w:fldSimple w:instr=" SEQ Appendix \* ARABIC ">
        <w:r w:rsidR="00A74C32">
          <w:rPr>
            <w:noProof/>
          </w:rPr>
          <w:t>4</w:t>
        </w:r>
      </w:fldSimple>
      <w:bookmarkEnd w:id="54"/>
      <w:r>
        <w:tab/>
        <w:t>Private conventional TV expenditures on Canadian and non-Canadian programming, 1993-2019</w:t>
      </w:r>
      <w:bookmarkEnd w:id="55"/>
      <w:bookmarkEnd w:id="56"/>
    </w:p>
    <w:p w14:paraId="0A236C8D" w14:textId="77777777" w:rsidR="00172551" w:rsidRDefault="00172551" w:rsidP="008B5690">
      <w:pPr>
        <w:pStyle w:val="FRPCintPara"/>
        <w:numPr>
          <w:ilvl w:val="0"/>
          <w:numId w:val="0"/>
        </w:numPr>
        <w:ind w:left="720" w:hanging="720"/>
        <w:rPr>
          <w:noProof/>
        </w:rPr>
      </w:pPr>
    </w:p>
    <w:p w14:paraId="63725856" w14:textId="77777777" w:rsidR="00172551" w:rsidRDefault="00172551" w:rsidP="008B5690">
      <w:pPr>
        <w:pStyle w:val="FRPCintPara"/>
        <w:numPr>
          <w:ilvl w:val="0"/>
          <w:numId w:val="0"/>
        </w:numPr>
        <w:ind w:left="720" w:hanging="720"/>
        <w:rPr>
          <w:noProof/>
        </w:rPr>
      </w:pPr>
    </w:p>
    <w:p w14:paraId="6D2B38D1" w14:textId="5A156E19" w:rsidR="00172551" w:rsidRDefault="00172551" w:rsidP="008B5690">
      <w:pPr>
        <w:pStyle w:val="FRPCintPara"/>
        <w:numPr>
          <w:ilvl w:val="0"/>
          <w:numId w:val="0"/>
        </w:numPr>
        <w:ind w:left="720" w:hanging="720"/>
        <w:rPr>
          <w:noProof/>
        </w:rPr>
      </w:pPr>
      <w:r>
        <w:rPr>
          <w:noProof/>
        </w:rPr>
        <w:drawing>
          <wp:inline distT="0" distB="0" distL="0" distR="0" wp14:anchorId="032D8A48" wp14:editId="051E8D6E">
            <wp:extent cx="8010738" cy="3822700"/>
            <wp:effectExtent l="0" t="0" r="952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25688" cy="3829834"/>
                    </a:xfrm>
                    <a:prstGeom prst="rect">
                      <a:avLst/>
                    </a:prstGeom>
                    <a:noFill/>
                  </pic:spPr>
                </pic:pic>
              </a:graphicData>
            </a:graphic>
          </wp:inline>
        </w:drawing>
      </w:r>
    </w:p>
    <w:p w14:paraId="19CAB83E" w14:textId="00245AF5" w:rsidR="00172551" w:rsidRDefault="00172551">
      <w:pPr>
        <w:rPr>
          <w:rFonts w:ascii="Calibri" w:hAnsi="Calibri"/>
        </w:rPr>
      </w:pPr>
      <w:r>
        <w:br w:type="page"/>
      </w:r>
    </w:p>
    <w:p w14:paraId="0DC210A3" w14:textId="7D410C40" w:rsidR="001C6D45" w:rsidRDefault="00172551" w:rsidP="00172551">
      <w:pPr>
        <w:pStyle w:val="Caption"/>
      </w:pPr>
      <w:bookmarkStart w:id="57" w:name="_Ref53986093"/>
      <w:bookmarkStart w:id="58" w:name="_Toc54006644"/>
      <w:bookmarkStart w:id="59" w:name="_Toc54021147"/>
      <w:r>
        <w:lastRenderedPageBreak/>
        <w:t xml:space="preserve">Appendix </w:t>
      </w:r>
      <w:fldSimple w:instr=" SEQ Appendix \* ARABIC ">
        <w:r w:rsidR="00A74C32">
          <w:rPr>
            <w:noProof/>
          </w:rPr>
          <w:t>5</w:t>
        </w:r>
      </w:fldSimple>
      <w:bookmarkEnd w:id="57"/>
      <w:r>
        <w:tab/>
        <w:t>Employment in Canada’s regulated broadcast sector, 2000-2019</w:t>
      </w:r>
      <w:bookmarkEnd w:id="58"/>
      <w:bookmarkEnd w:id="59"/>
    </w:p>
    <w:p w14:paraId="6C81ED8D" w14:textId="4F833D1F" w:rsidR="00172551" w:rsidRDefault="00172551" w:rsidP="00172551"/>
    <w:p w14:paraId="78CCB4B0" w14:textId="6DAE7A17" w:rsidR="00172551" w:rsidRPr="00172551" w:rsidRDefault="00172551" w:rsidP="00172551">
      <w:r>
        <w:rPr>
          <w:noProof/>
        </w:rPr>
        <w:drawing>
          <wp:inline distT="0" distB="0" distL="0" distR="0" wp14:anchorId="74AFFE6E" wp14:editId="2F576A31">
            <wp:extent cx="6889750" cy="4761088"/>
            <wp:effectExtent l="0" t="0" r="635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97850" cy="4766686"/>
                    </a:xfrm>
                    <a:prstGeom prst="rect">
                      <a:avLst/>
                    </a:prstGeom>
                    <a:noFill/>
                  </pic:spPr>
                </pic:pic>
              </a:graphicData>
            </a:graphic>
          </wp:inline>
        </w:drawing>
      </w:r>
    </w:p>
    <w:p w14:paraId="342AAD65" w14:textId="77777777" w:rsidR="001C6D45" w:rsidRDefault="001C6D45" w:rsidP="008B5690">
      <w:pPr>
        <w:pStyle w:val="FRPCintPara"/>
        <w:numPr>
          <w:ilvl w:val="0"/>
          <w:numId w:val="0"/>
        </w:numPr>
        <w:ind w:left="720" w:hanging="720"/>
        <w:sectPr w:rsidR="001C6D45" w:rsidSect="007B57F7">
          <w:pgSz w:w="15840" w:h="12240" w:orient="landscape"/>
          <w:pgMar w:top="1440" w:right="1440" w:bottom="1440" w:left="1440" w:header="708" w:footer="708" w:gutter="0"/>
          <w:cols w:space="708"/>
          <w:docGrid w:linePitch="360"/>
        </w:sectPr>
      </w:pPr>
    </w:p>
    <w:p w14:paraId="68E5C27A" w14:textId="60F76272" w:rsidR="001C6D45" w:rsidRDefault="005426DA" w:rsidP="005426DA">
      <w:pPr>
        <w:pStyle w:val="Caption"/>
      </w:pPr>
      <w:bookmarkStart w:id="60" w:name="_Ref53986730"/>
      <w:bookmarkStart w:id="61" w:name="_Toc54006645"/>
      <w:bookmarkStart w:id="62" w:name="_Toc54021148"/>
      <w:r>
        <w:lastRenderedPageBreak/>
        <w:t xml:space="preserve">Appendix </w:t>
      </w:r>
      <w:fldSimple w:instr=" SEQ Appendix \* ARABIC ">
        <w:r w:rsidR="00A74C32">
          <w:rPr>
            <w:noProof/>
          </w:rPr>
          <w:t>6</w:t>
        </w:r>
      </w:fldSimple>
      <w:bookmarkEnd w:id="60"/>
      <w:r>
        <w:tab/>
        <w:t xml:space="preserve">CRTC regulatory flexibility and private conventional TV revenues, </w:t>
      </w:r>
      <w:r w:rsidR="00EE5171">
        <w:t>1968-2019</w:t>
      </w:r>
      <w:bookmarkEnd w:id="61"/>
      <w:bookmarkEnd w:id="62"/>
    </w:p>
    <w:p w14:paraId="1C42D2B8" w14:textId="4B6EAF49" w:rsidR="005426DA" w:rsidRDefault="005426DA" w:rsidP="008B5690">
      <w:pPr>
        <w:pStyle w:val="FRPCintPara"/>
        <w:numPr>
          <w:ilvl w:val="0"/>
          <w:numId w:val="0"/>
        </w:numPr>
        <w:ind w:left="720" w:hanging="720"/>
      </w:pPr>
      <w:r>
        <w:rPr>
          <w:noProof/>
        </w:rPr>
        <w:drawing>
          <wp:inline distT="0" distB="0" distL="0" distR="0" wp14:anchorId="3B6750C5" wp14:editId="0F4D47A9">
            <wp:extent cx="8431913" cy="3778250"/>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437109" cy="3780578"/>
                    </a:xfrm>
                    <a:prstGeom prst="rect">
                      <a:avLst/>
                    </a:prstGeom>
                    <a:noFill/>
                  </pic:spPr>
                </pic:pic>
              </a:graphicData>
            </a:graphic>
          </wp:inline>
        </w:drawing>
      </w:r>
    </w:p>
    <w:p w14:paraId="0E94026E" w14:textId="77777777" w:rsidR="00736696" w:rsidRDefault="00736696" w:rsidP="008B5690">
      <w:pPr>
        <w:pStyle w:val="FRPCintPara"/>
        <w:numPr>
          <w:ilvl w:val="0"/>
          <w:numId w:val="0"/>
        </w:numPr>
        <w:ind w:left="720" w:hanging="720"/>
        <w:sectPr w:rsidR="00736696" w:rsidSect="007B57F7">
          <w:pgSz w:w="15840" w:h="12240" w:orient="landscape"/>
          <w:pgMar w:top="1440" w:right="1440" w:bottom="1440" w:left="1440" w:header="708" w:footer="708" w:gutter="0"/>
          <w:cols w:space="708"/>
          <w:docGrid w:linePitch="360"/>
        </w:sectPr>
      </w:pPr>
    </w:p>
    <w:p w14:paraId="70476F1D" w14:textId="450DFB39" w:rsidR="005426DA" w:rsidRDefault="00736696" w:rsidP="00736696">
      <w:pPr>
        <w:pStyle w:val="Caption"/>
      </w:pPr>
      <w:bookmarkStart w:id="63" w:name="_Ref53987779"/>
      <w:bookmarkStart w:id="64" w:name="_Toc54006646"/>
      <w:bookmarkStart w:id="65" w:name="_Toc54021149"/>
      <w:r>
        <w:lastRenderedPageBreak/>
        <w:t xml:space="preserve">Appendix </w:t>
      </w:r>
      <w:fldSimple w:instr=" SEQ Appendix \* ARABIC ">
        <w:r w:rsidR="00A74C32">
          <w:rPr>
            <w:noProof/>
          </w:rPr>
          <w:t>7</w:t>
        </w:r>
      </w:fldSimple>
      <w:bookmarkEnd w:id="63"/>
      <w:r>
        <w:tab/>
        <w:t>CAB website</w:t>
      </w:r>
      <w:bookmarkEnd w:id="64"/>
      <w:bookmarkEnd w:id="65"/>
    </w:p>
    <w:p w14:paraId="7E056F01" w14:textId="383395D2" w:rsidR="001C5547" w:rsidRDefault="00736696" w:rsidP="008B5690">
      <w:pPr>
        <w:pStyle w:val="FRPCintPara"/>
        <w:numPr>
          <w:ilvl w:val="0"/>
          <w:numId w:val="0"/>
        </w:numPr>
        <w:ind w:left="720" w:hanging="720"/>
      </w:pPr>
      <w:r>
        <w:rPr>
          <w:noProof/>
        </w:rPr>
        <w:drawing>
          <wp:inline distT="0" distB="0" distL="0" distR="0" wp14:anchorId="1F5B017F" wp14:editId="1013283D">
            <wp:extent cx="6121400" cy="385489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2528" cy="3855603"/>
                    </a:xfrm>
                    <a:prstGeom prst="rect">
                      <a:avLst/>
                    </a:prstGeom>
                    <a:noFill/>
                  </pic:spPr>
                </pic:pic>
              </a:graphicData>
            </a:graphic>
          </wp:inline>
        </w:drawing>
      </w:r>
      <w:r w:rsidR="001C5547">
        <w:br w:type="page"/>
      </w:r>
    </w:p>
    <w:p w14:paraId="12C8A5C0" w14:textId="296F9F90" w:rsidR="00237432" w:rsidRDefault="00237432" w:rsidP="00237432">
      <w:bookmarkStart w:id="66" w:name="_Ref53988259"/>
    </w:p>
    <w:p w14:paraId="2E9CCB0A" w14:textId="04BDEEA7" w:rsidR="00237432" w:rsidRDefault="00237432" w:rsidP="00237432">
      <w:pPr>
        <w:pStyle w:val="Caption"/>
        <w:keepNext/>
      </w:pPr>
      <w:bookmarkStart w:id="67" w:name="_Ref54000643"/>
      <w:bookmarkStart w:id="68" w:name="_Toc54006647"/>
      <w:bookmarkStart w:id="69" w:name="_Toc54021150"/>
      <w:r>
        <w:t xml:space="preserve">Appendix </w:t>
      </w:r>
      <w:fldSimple w:instr=" SEQ Appendix \* ARABIC ">
        <w:r w:rsidR="00A74C32">
          <w:rPr>
            <w:noProof/>
          </w:rPr>
          <w:t>8</w:t>
        </w:r>
      </w:fldSimple>
      <w:bookmarkEnd w:id="67"/>
      <w:r w:rsidR="002D3CD6">
        <w:tab/>
        <w:t>Private radio and television ownership groups, 2018</w:t>
      </w:r>
      <w:bookmarkEnd w:id="68"/>
      <w:bookmarkEnd w:id="69"/>
    </w:p>
    <w:tbl>
      <w:tblPr>
        <w:tblW w:w="10890" w:type="dxa"/>
        <w:tblInd w:w="-815" w:type="dxa"/>
        <w:tblLook w:val="04A0" w:firstRow="1" w:lastRow="0" w:firstColumn="1" w:lastColumn="0" w:noHBand="0" w:noVBand="1"/>
      </w:tblPr>
      <w:tblGrid>
        <w:gridCol w:w="2051"/>
        <w:gridCol w:w="2841"/>
        <w:gridCol w:w="3208"/>
        <w:gridCol w:w="2790"/>
      </w:tblGrid>
      <w:tr w:rsidR="00237432" w14:paraId="08CF5C36" w14:textId="77777777" w:rsidTr="002D3CD6">
        <w:tc>
          <w:tcPr>
            <w:tcW w:w="2051" w:type="dxa"/>
          </w:tcPr>
          <w:p w14:paraId="1809F912" w14:textId="77777777" w:rsidR="00237432" w:rsidRDefault="00237432" w:rsidP="002D3CD6">
            <w:pPr>
              <w:pStyle w:val="Table"/>
              <w:ind w:left="0"/>
            </w:pPr>
          </w:p>
        </w:tc>
        <w:tc>
          <w:tcPr>
            <w:tcW w:w="2841" w:type="dxa"/>
          </w:tcPr>
          <w:p w14:paraId="51A4DE89" w14:textId="77777777" w:rsidR="00237432" w:rsidRPr="00D17C66" w:rsidRDefault="00237432" w:rsidP="002D3CD6">
            <w:pPr>
              <w:pStyle w:val="Table"/>
              <w:ind w:left="0"/>
              <w:rPr>
                <w:b/>
                <w:bCs/>
              </w:rPr>
            </w:pPr>
            <w:r w:rsidRPr="00D17C66">
              <w:rPr>
                <w:b/>
                <w:bCs/>
              </w:rPr>
              <w:t>Radio</w:t>
            </w:r>
          </w:p>
        </w:tc>
        <w:tc>
          <w:tcPr>
            <w:tcW w:w="3208" w:type="dxa"/>
          </w:tcPr>
          <w:p w14:paraId="3CFA140C" w14:textId="77777777" w:rsidR="00237432" w:rsidRPr="00D17C66" w:rsidRDefault="00237432" w:rsidP="002D3CD6">
            <w:pPr>
              <w:pStyle w:val="Table"/>
              <w:ind w:left="0"/>
              <w:rPr>
                <w:b/>
                <w:bCs/>
              </w:rPr>
            </w:pPr>
            <w:r w:rsidRPr="00D17C66">
              <w:rPr>
                <w:b/>
                <w:bCs/>
              </w:rPr>
              <w:t xml:space="preserve">Television </w:t>
            </w:r>
          </w:p>
        </w:tc>
        <w:tc>
          <w:tcPr>
            <w:tcW w:w="2790" w:type="dxa"/>
          </w:tcPr>
          <w:p w14:paraId="60DFE7E0" w14:textId="77777777" w:rsidR="00237432" w:rsidRPr="00D17C66" w:rsidRDefault="00237432" w:rsidP="002D3CD6">
            <w:pPr>
              <w:pStyle w:val="Table"/>
              <w:ind w:left="0"/>
              <w:rPr>
                <w:b/>
                <w:bCs/>
              </w:rPr>
            </w:pPr>
            <w:r>
              <w:rPr>
                <w:b/>
                <w:bCs/>
              </w:rPr>
              <w:t>Total</w:t>
            </w:r>
          </w:p>
        </w:tc>
      </w:tr>
      <w:tr w:rsidR="00237432" w14:paraId="78F6126F" w14:textId="77777777" w:rsidTr="002D3CD6">
        <w:tc>
          <w:tcPr>
            <w:tcW w:w="2051" w:type="dxa"/>
          </w:tcPr>
          <w:p w14:paraId="1611434F" w14:textId="77777777" w:rsidR="00237432" w:rsidRDefault="00237432" w:rsidP="002D3CD6">
            <w:pPr>
              <w:pStyle w:val="Table"/>
              <w:ind w:left="0"/>
            </w:pPr>
            <w:r>
              <w:t>Undertakings (stations)</w:t>
            </w:r>
          </w:p>
        </w:tc>
        <w:tc>
          <w:tcPr>
            <w:tcW w:w="2841" w:type="dxa"/>
          </w:tcPr>
          <w:p w14:paraId="2F4FF050" w14:textId="77777777" w:rsidR="00237432" w:rsidRDefault="00237432" w:rsidP="002D3CD6">
            <w:pPr>
              <w:pStyle w:val="Table"/>
              <w:ind w:left="0"/>
            </w:pPr>
            <w:r>
              <w:t xml:space="preserve">721 private stations </w:t>
            </w:r>
          </w:p>
        </w:tc>
        <w:tc>
          <w:tcPr>
            <w:tcW w:w="3208" w:type="dxa"/>
          </w:tcPr>
          <w:p w14:paraId="28C2F2E6" w14:textId="77777777" w:rsidR="00237432" w:rsidRDefault="00237432" w:rsidP="002D3CD6">
            <w:pPr>
              <w:pStyle w:val="Table"/>
              <w:ind w:left="0"/>
            </w:pPr>
            <w:r>
              <w:t>93 reporting units</w:t>
            </w:r>
          </w:p>
        </w:tc>
        <w:tc>
          <w:tcPr>
            <w:tcW w:w="2790" w:type="dxa"/>
          </w:tcPr>
          <w:p w14:paraId="59ED201E" w14:textId="77777777" w:rsidR="00237432" w:rsidRDefault="00237432" w:rsidP="002D3CD6">
            <w:pPr>
              <w:pStyle w:val="Table"/>
              <w:ind w:left="0"/>
            </w:pPr>
            <w:r>
              <w:t>814 stations/units</w:t>
            </w:r>
          </w:p>
        </w:tc>
      </w:tr>
      <w:tr w:rsidR="00237432" w14:paraId="0D83FD18" w14:textId="77777777" w:rsidTr="002D3CD6">
        <w:tc>
          <w:tcPr>
            <w:tcW w:w="2051" w:type="dxa"/>
          </w:tcPr>
          <w:p w14:paraId="132E2FFA" w14:textId="77777777" w:rsidR="00237432" w:rsidRDefault="00237432" w:rsidP="002D3CD6">
            <w:pPr>
              <w:pStyle w:val="Table"/>
              <w:ind w:left="0"/>
            </w:pPr>
            <w:r>
              <w:t>Total revenue (2018)</w:t>
            </w:r>
          </w:p>
        </w:tc>
        <w:tc>
          <w:tcPr>
            <w:tcW w:w="2841" w:type="dxa"/>
          </w:tcPr>
          <w:p w14:paraId="6DF342D7" w14:textId="77777777" w:rsidR="00237432" w:rsidRDefault="00237432" w:rsidP="002D3CD6">
            <w:pPr>
              <w:pStyle w:val="Table"/>
              <w:ind w:left="0"/>
            </w:pPr>
            <w:r>
              <w:t>$1.5 billion</w:t>
            </w:r>
          </w:p>
        </w:tc>
        <w:tc>
          <w:tcPr>
            <w:tcW w:w="3208" w:type="dxa"/>
          </w:tcPr>
          <w:p w14:paraId="285814B6" w14:textId="77777777" w:rsidR="00237432" w:rsidRDefault="00237432" w:rsidP="002D3CD6">
            <w:pPr>
              <w:pStyle w:val="Table"/>
              <w:ind w:left="0"/>
            </w:pPr>
            <w:r>
              <w:t>$1.5 billion</w:t>
            </w:r>
          </w:p>
        </w:tc>
        <w:tc>
          <w:tcPr>
            <w:tcW w:w="2790" w:type="dxa"/>
          </w:tcPr>
          <w:p w14:paraId="561F6574" w14:textId="77777777" w:rsidR="00237432" w:rsidRDefault="00237432" w:rsidP="002D3CD6">
            <w:pPr>
              <w:pStyle w:val="Table"/>
              <w:ind w:left="0"/>
            </w:pPr>
            <w:r>
              <w:t>$3.0 billion</w:t>
            </w:r>
          </w:p>
        </w:tc>
      </w:tr>
      <w:tr w:rsidR="00237432" w14:paraId="5E02DE42" w14:textId="77777777" w:rsidTr="002D3CD6">
        <w:tc>
          <w:tcPr>
            <w:tcW w:w="2051" w:type="dxa"/>
          </w:tcPr>
          <w:p w14:paraId="1B912F0E" w14:textId="77777777" w:rsidR="00237432" w:rsidRDefault="00237432" w:rsidP="002D3CD6">
            <w:pPr>
              <w:pStyle w:val="Table"/>
              <w:ind w:left="0"/>
            </w:pPr>
            <w:r>
              <w:t>% of revenues of top</w:t>
            </w:r>
          </w:p>
        </w:tc>
        <w:tc>
          <w:tcPr>
            <w:tcW w:w="2841" w:type="dxa"/>
          </w:tcPr>
          <w:p w14:paraId="2BC6DB71" w14:textId="77777777" w:rsidR="00237432" w:rsidRDefault="00237432" w:rsidP="002D3CD6">
            <w:pPr>
              <w:pStyle w:val="Table"/>
              <w:ind w:left="0"/>
            </w:pPr>
            <w:r>
              <w:t>5 groups:  65% - $975 million</w:t>
            </w:r>
          </w:p>
        </w:tc>
        <w:tc>
          <w:tcPr>
            <w:tcW w:w="3208" w:type="dxa"/>
          </w:tcPr>
          <w:p w14:paraId="06DD501A" w14:textId="77777777" w:rsidR="00237432" w:rsidRDefault="00237432" w:rsidP="002D3CD6">
            <w:pPr>
              <w:pStyle w:val="Table"/>
              <w:ind w:left="0"/>
            </w:pPr>
            <w:r>
              <w:t>6 groups:  89% - $1.3 billion</w:t>
            </w:r>
          </w:p>
        </w:tc>
        <w:tc>
          <w:tcPr>
            <w:tcW w:w="2790" w:type="dxa"/>
          </w:tcPr>
          <w:p w14:paraId="7356A4F2" w14:textId="77777777" w:rsidR="00237432" w:rsidRDefault="00237432" w:rsidP="002D3CD6">
            <w:pPr>
              <w:pStyle w:val="Table"/>
              <w:ind w:left="0"/>
            </w:pPr>
          </w:p>
        </w:tc>
      </w:tr>
      <w:tr w:rsidR="00237432" w14:paraId="367A567A" w14:textId="77777777" w:rsidTr="002D3CD6">
        <w:tc>
          <w:tcPr>
            <w:tcW w:w="2051" w:type="dxa"/>
          </w:tcPr>
          <w:p w14:paraId="2F157E0B" w14:textId="77777777" w:rsidR="00237432" w:rsidRDefault="00237432" w:rsidP="002D3CD6">
            <w:pPr>
              <w:pStyle w:val="Table"/>
              <w:ind w:left="0"/>
            </w:pPr>
            <w:r>
              <w:t># of stations of top</w:t>
            </w:r>
          </w:p>
        </w:tc>
        <w:tc>
          <w:tcPr>
            <w:tcW w:w="2841" w:type="dxa"/>
          </w:tcPr>
          <w:p w14:paraId="66912D55" w14:textId="77777777" w:rsidR="00237432" w:rsidRDefault="00237432" w:rsidP="002D3CD6">
            <w:pPr>
              <w:pStyle w:val="Table"/>
              <w:ind w:left="0"/>
            </w:pPr>
            <w:r>
              <w:t>5:  289 stations (65% of revenues)</w:t>
            </w:r>
          </w:p>
        </w:tc>
        <w:tc>
          <w:tcPr>
            <w:tcW w:w="3208" w:type="dxa"/>
          </w:tcPr>
          <w:p w14:paraId="6A84FEB4" w14:textId="77777777" w:rsidR="00237432" w:rsidRDefault="00237432" w:rsidP="002D3CD6">
            <w:pPr>
              <w:pStyle w:val="Table"/>
              <w:ind w:left="0"/>
            </w:pPr>
            <w:r>
              <w:t>5:  69 stations (91% of revenues)</w:t>
            </w:r>
          </w:p>
        </w:tc>
        <w:tc>
          <w:tcPr>
            <w:tcW w:w="2790" w:type="dxa"/>
          </w:tcPr>
          <w:p w14:paraId="0B2C1DA7" w14:textId="77777777" w:rsidR="00237432" w:rsidRDefault="00237432" w:rsidP="002D3CD6">
            <w:pPr>
              <w:pStyle w:val="Table"/>
              <w:ind w:left="0"/>
            </w:pPr>
          </w:p>
        </w:tc>
      </w:tr>
      <w:tr w:rsidR="00237432" w14:paraId="1510B820" w14:textId="77777777" w:rsidTr="002D3CD6">
        <w:tc>
          <w:tcPr>
            <w:tcW w:w="2051" w:type="dxa"/>
          </w:tcPr>
          <w:p w14:paraId="0E5452C0" w14:textId="77777777" w:rsidR="00237432" w:rsidRDefault="00237432" w:rsidP="002D3CD6">
            <w:pPr>
              <w:pStyle w:val="Table"/>
              <w:ind w:left="0"/>
            </w:pPr>
            <w:r>
              <w:t># ownership groups</w:t>
            </w:r>
          </w:p>
        </w:tc>
        <w:tc>
          <w:tcPr>
            <w:tcW w:w="2841" w:type="dxa"/>
          </w:tcPr>
          <w:p w14:paraId="53F74DB7" w14:textId="77777777" w:rsidR="00237432" w:rsidRDefault="00237432" w:rsidP="002D3CD6">
            <w:pPr>
              <w:pStyle w:val="Table"/>
              <w:ind w:left="0"/>
            </w:pPr>
            <w:r>
              <w:t>109 ownership groups</w:t>
            </w:r>
          </w:p>
        </w:tc>
        <w:tc>
          <w:tcPr>
            <w:tcW w:w="3208" w:type="dxa"/>
          </w:tcPr>
          <w:p w14:paraId="516D47A3" w14:textId="77777777" w:rsidR="00237432" w:rsidRDefault="00237432" w:rsidP="002D3CD6">
            <w:pPr>
              <w:pStyle w:val="Table"/>
              <w:ind w:left="0"/>
            </w:pPr>
            <w:r>
              <w:t xml:space="preserve">5 + up to 24 owners of individual TV </w:t>
            </w:r>
            <w:proofErr w:type="spellStart"/>
            <w:r>
              <w:t>stns</w:t>
            </w:r>
            <w:proofErr w:type="spellEnd"/>
          </w:p>
        </w:tc>
        <w:tc>
          <w:tcPr>
            <w:tcW w:w="2790" w:type="dxa"/>
          </w:tcPr>
          <w:p w14:paraId="6862101B" w14:textId="77777777" w:rsidR="00237432" w:rsidRDefault="00237432" w:rsidP="002D3CD6">
            <w:pPr>
              <w:pStyle w:val="Table"/>
              <w:ind w:left="0"/>
            </w:pPr>
            <w:r>
              <w:t xml:space="preserve">138 ownership groups (but some radio and TV stations have the same owner – </w:t>
            </w:r>
            <w:proofErr w:type="spellStart"/>
            <w:r>
              <w:t>ie</w:t>
            </w:r>
            <w:proofErr w:type="spellEnd"/>
            <w:r>
              <w:t>, Bell and Rogers)</w:t>
            </w:r>
          </w:p>
        </w:tc>
      </w:tr>
      <w:tr w:rsidR="00237432" w14:paraId="31FC609A" w14:textId="77777777" w:rsidTr="002D3CD6">
        <w:tc>
          <w:tcPr>
            <w:tcW w:w="10890" w:type="dxa"/>
            <w:gridSpan w:val="4"/>
          </w:tcPr>
          <w:p w14:paraId="3D744EB6" w14:textId="77777777" w:rsidR="00237432" w:rsidRPr="00E73434" w:rsidRDefault="00237432" w:rsidP="002D3CD6">
            <w:pPr>
              <w:pStyle w:val="Table"/>
              <w:ind w:left="0"/>
            </w:pPr>
            <w:r>
              <w:t xml:space="preserve">Sources:  </w:t>
            </w:r>
            <w:r>
              <w:rPr>
                <w:i/>
                <w:iCs/>
              </w:rPr>
              <w:t>2019 Communications Monitoring Report</w:t>
            </w:r>
            <w:r>
              <w:t xml:space="preserve"> at 123 (total revenue; owners’ revenues), 135-136 (radio ownership groups, number of stations), 177 (TV ownership groups)</w:t>
            </w:r>
          </w:p>
        </w:tc>
      </w:tr>
    </w:tbl>
    <w:p w14:paraId="3A4931AD" w14:textId="250395F0" w:rsidR="00237432" w:rsidRDefault="00237432" w:rsidP="00237432"/>
    <w:p w14:paraId="44A8761B" w14:textId="77777777" w:rsidR="005B7278" w:rsidRPr="005B7278" w:rsidRDefault="005B7278" w:rsidP="005B7278"/>
    <w:p w14:paraId="1E659A03" w14:textId="77777777" w:rsidR="00237432" w:rsidRDefault="00237432">
      <w:pPr>
        <w:rPr>
          <w:rFonts w:ascii="Calibri" w:hAnsi="Calibri" w:cs="Calibri"/>
          <w:b/>
          <w:bCs/>
          <w:color w:val="FF0000"/>
        </w:rPr>
      </w:pPr>
    </w:p>
    <w:p w14:paraId="210F0B66" w14:textId="77777777" w:rsidR="002D3CD6" w:rsidRDefault="002D3CD6">
      <w:pPr>
        <w:rPr>
          <w:rFonts w:ascii="Calibri" w:hAnsi="Calibri" w:cs="Calibri"/>
          <w:b/>
          <w:bCs/>
          <w:color w:val="FF0000"/>
        </w:rPr>
      </w:pPr>
      <w:r>
        <w:br w:type="page"/>
      </w:r>
    </w:p>
    <w:p w14:paraId="2E07596E" w14:textId="7BF4DEE3" w:rsidR="005426DA" w:rsidRDefault="001C5547" w:rsidP="001C5547">
      <w:pPr>
        <w:pStyle w:val="Caption"/>
      </w:pPr>
      <w:bookmarkStart w:id="70" w:name="_Ref54021873"/>
      <w:bookmarkStart w:id="71" w:name="_Toc54006648"/>
      <w:bookmarkStart w:id="72" w:name="_Toc54021151"/>
      <w:r>
        <w:lastRenderedPageBreak/>
        <w:t xml:space="preserve">Appendix </w:t>
      </w:r>
      <w:fldSimple w:instr=" SEQ Appendix \* ARABIC ">
        <w:r w:rsidR="00A74C32">
          <w:rPr>
            <w:noProof/>
          </w:rPr>
          <w:t>9</w:t>
        </w:r>
      </w:fldSimple>
      <w:bookmarkEnd w:id="66"/>
      <w:bookmarkEnd w:id="70"/>
      <w:r>
        <w:tab/>
      </w:r>
      <w:r w:rsidR="00794778">
        <w:t xml:space="preserve">CCD and </w:t>
      </w:r>
      <w:r>
        <w:t>CPE e</w:t>
      </w:r>
      <w:r w:rsidR="00794778">
        <w:t>xpenditures</w:t>
      </w:r>
      <w:bookmarkEnd w:id="71"/>
      <w:bookmarkEnd w:id="72"/>
    </w:p>
    <w:p w14:paraId="6FC4F56D" w14:textId="3D5140BB" w:rsidR="001C5547" w:rsidRDefault="001C5547" w:rsidP="008B5690">
      <w:pPr>
        <w:pStyle w:val="FRPCintPara"/>
        <w:numPr>
          <w:ilvl w:val="0"/>
          <w:numId w:val="0"/>
        </w:numPr>
        <w:ind w:left="720" w:hanging="720"/>
      </w:pPr>
    </w:p>
    <w:tbl>
      <w:tblPr>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1376"/>
        <w:gridCol w:w="1082"/>
        <w:gridCol w:w="1082"/>
        <w:gridCol w:w="1082"/>
        <w:gridCol w:w="1082"/>
        <w:gridCol w:w="1266"/>
        <w:gridCol w:w="968"/>
      </w:tblGrid>
      <w:tr w:rsidR="00794778" w:rsidRPr="00212746" w14:paraId="61C40BFC" w14:textId="77777777" w:rsidTr="00830374">
        <w:trPr>
          <w:trHeight w:val="260"/>
        </w:trPr>
        <w:tc>
          <w:tcPr>
            <w:tcW w:w="2489" w:type="dxa"/>
            <w:noWrap/>
            <w:hideMark/>
          </w:tcPr>
          <w:p w14:paraId="77E1DFC1" w14:textId="77777777" w:rsidR="00794778" w:rsidRPr="001F1482" w:rsidRDefault="00794778" w:rsidP="00F8518C">
            <w:pPr>
              <w:pStyle w:val="Table"/>
              <w:rPr>
                <w:b/>
                <w:bCs/>
              </w:rPr>
            </w:pPr>
            <w:r w:rsidRPr="001F1482">
              <w:rPr>
                <w:b/>
                <w:bCs/>
              </w:rPr>
              <w:t>CCD ($ millions)</w:t>
            </w:r>
          </w:p>
        </w:tc>
        <w:tc>
          <w:tcPr>
            <w:tcW w:w="1376" w:type="dxa"/>
            <w:noWrap/>
            <w:hideMark/>
          </w:tcPr>
          <w:p w14:paraId="2F51E1FB" w14:textId="77777777" w:rsidR="00794778" w:rsidRPr="001F1482" w:rsidRDefault="00794778" w:rsidP="00F8518C">
            <w:pPr>
              <w:pStyle w:val="Table"/>
              <w:rPr>
                <w:b/>
                <w:bCs/>
              </w:rPr>
            </w:pPr>
            <w:r w:rsidRPr="001F1482">
              <w:rPr>
                <w:b/>
                <w:bCs/>
              </w:rPr>
              <w:t>2013/14</w:t>
            </w:r>
          </w:p>
        </w:tc>
        <w:tc>
          <w:tcPr>
            <w:tcW w:w="1056" w:type="dxa"/>
            <w:noWrap/>
            <w:hideMark/>
          </w:tcPr>
          <w:p w14:paraId="73571F31" w14:textId="77777777" w:rsidR="00794778" w:rsidRPr="001F1482" w:rsidRDefault="00794778" w:rsidP="00F8518C">
            <w:pPr>
              <w:pStyle w:val="Table"/>
              <w:rPr>
                <w:b/>
                <w:bCs/>
              </w:rPr>
            </w:pPr>
            <w:r w:rsidRPr="001F1482">
              <w:rPr>
                <w:b/>
                <w:bCs/>
              </w:rPr>
              <w:t>2014/15</w:t>
            </w:r>
          </w:p>
        </w:tc>
        <w:tc>
          <w:tcPr>
            <w:tcW w:w="1056" w:type="dxa"/>
            <w:noWrap/>
            <w:hideMark/>
          </w:tcPr>
          <w:p w14:paraId="70547FCD" w14:textId="77777777" w:rsidR="00794778" w:rsidRPr="001F1482" w:rsidRDefault="00794778" w:rsidP="00F8518C">
            <w:pPr>
              <w:pStyle w:val="Table"/>
              <w:rPr>
                <w:b/>
                <w:bCs/>
              </w:rPr>
            </w:pPr>
            <w:r w:rsidRPr="001F1482">
              <w:rPr>
                <w:b/>
                <w:bCs/>
              </w:rPr>
              <w:t>2015/16</w:t>
            </w:r>
          </w:p>
        </w:tc>
        <w:tc>
          <w:tcPr>
            <w:tcW w:w="1056" w:type="dxa"/>
            <w:noWrap/>
            <w:hideMark/>
          </w:tcPr>
          <w:p w14:paraId="74B7D5FA" w14:textId="77777777" w:rsidR="00794778" w:rsidRPr="001F1482" w:rsidRDefault="00794778" w:rsidP="00F8518C">
            <w:pPr>
              <w:pStyle w:val="Table"/>
              <w:rPr>
                <w:b/>
                <w:bCs/>
              </w:rPr>
            </w:pPr>
            <w:r w:rsidRPr="001F1482">
              <w:rPr>
                <w:b/>
                <w:bCs/>
              </w:rPr>
              <w:t>2016/17</w:t>
            </w:r>
          </w:p>
        </w:tc>
        <w:tc>
          <w:tcPr>
            <w:tcW w:w="1056" w:type="dxa"/>
            <w:noWrap/>
            <w:hideMark/>
          </w:tcPr>
          <w:p w14:paraId="4B98D76C" w14:textId="77777777" w:rsidR="00794778" w:rsidRPr="001F1482" w:rsidRDefault="00794778" w:rsidP="00F8518C">
            <w:pPr>
              <w:pStyle w:val="Table"/>
              <w:rPr>
                <w:b/>
                <w:bCs/>
              </w:rPr>
            </w:pPr>
            <w:r w:rsidRPr="001F1482">
              <w:rPr>
                <w:b/>
                <w:bCs/>
              </w:rPr>
              <w:t>2017/18</w:t>
            </w:r>
          </w:p>
        </w:tc>
        <w:tc>
          <w:tcPr>
            <w:tcW w:w="1266" w:type="dxa"/>
            <w:noWrap/>
            <w:hideMark/>
          </w:tcPr>
          <w:p w14:paraId="418D30F6" w14:textId="77777777" w:rsidR="00794778" w:rsidRPr="001F1482" w:rsidRDefault="00794778" w:rsidP="00F8518C">
            <w:pPr>
              <w:pStyle w:val="Table"/>
              <w:rPr>
                <w:b/>
                <w:bCs/>
              </w:rPr>
            </w:pPr>
            <w:r w:rsidRPr="001F1482">
              <w:rPr>
                <w:b/>
                <w:bCs/>
              </w:rPr>
              <w:t>Average</w:t>
            </w:r>
          </w:p>
        </w:tc>
        <w:tc>
          <w:tcPr>
            <w:tcW w:w="961" w:type="dxa"/>
            <w:noWrap/>
            <w:hideMark/>
          </w:tcPr>
          <w:p w14:paraId="609C2854" w14:textId="77777777" w:rsidR="00794778" w:rsidRPr="001F1482" w:rsidRDefault="00794778" w:rsidP="00F8518C">
            <w:pPr>
              <w:pStyle w:val="Table"/>
              <w:rPr>
                <w:b/>
                <w:bCs/>
              </w:rPr>
            </w:pPr>
            <w:r w:rsidRPr="001F1482">
              <w:rPr>
                <w:b/>
                <w:bCs/>
              </w:rPr>
              <w:t>%</w:t>
            </w:r>
          </w:p>
        </w:tc>
      </w:tr>
      <w:tr w:rsidR="00794778" w:rsidRPr="00212746" w14:paraId="2C66A57C" w14:textId="77777777" w:rsidTr="00830374">
        <w:trPr>
          <w:trHeight w:val="260"/>
        </w:trPr>
        <w:tc>
          <w:tcPr>
            <w:tcW w:w="2489" w:type="dxa"/>
            <w:noWrap/>
            <w:hideMark/>
          </w:tcPr>
          <w:p w14:paraId="390CAAD9" w14:textId="77777777" w:rsidR="00794778" w:rsidRPr="00212746" w:rsidRDefault="00794778" w:rsidP="00F8518C">
            <w:pPr>
              <w:pStyle w:val="Table"/>
            </w:pPr>
            <w:r w:rsidRPr="00212746">
              <w:t xml:space="preserve">New stations </w:t>
            </w:r>
          </w:p>
        </w:tc>
        <w:tc>
          <w:tcPr>
            <w:tcW w:w="1376" w:type="dxa"/>
            <w:noWrap/>
            <w:hideMark/>
          </w:tcPr>
          <w:p w14:paraId="36031AAD" w14:textId="77777777" w:rsidR="00794778" w:rsidRPr="00212746" w:rsidRDefault="00794778" w:rsidP="00F8518C">
            <w:pPr>
              <w:pStyle w:val="Table"/>
            </w:pPr>
            <w:r w:rsidRPr="00212746">
              <w:t>8.9</w:t>
            </w:r>
          </w:p>
        </w:tc>
        <w:tc>
          <w:tcPr>
            <w:tcW w:w="1056" w:type="dxa"/>
            <w:noWrap/>
            <w:hideMark/>
          </w:tcPr>
          <w:p w14:paraId="30234281" w14:textId="77777777" w:rsidR="00794778" w:rsidRPr="00212746" w:rsidRDefault="00794778" w:rsidP="00F8518C">
            <w:pPr>
              <w:pStyle w:val="Table"/>
            </w:pPr>
            <w:r w:rsidRPr="00212746">
              <w:t>6.8</w:t>
            </w:r>
          </w:p>
        </w:tc>
        <w:tc>
          <w:tcPr>
            <w:tcW w:w="1056" w:type="dxa"/>
            <w:noWrap/>
            <w:hideMark/>
          </w:tcPr>
          <w:p w14:paraId="53BB18AB" w14:textId="77777777" w:rsidR="00794778" w:rsidRPr="00212746" w:rsidRDefault="00794778" w:rsidP="00F8518C">
            <w:pPr>
              <w:pStyle w:val="Table"/>
            </w:pPr>
            <w:r w:rsidRPr="00212746">
              <w:t>3.7</w:t>
            </w:r>
          </w:p>
        </w:tc>
        <w:tc>
          <w:tcPr>
            <w:tcW w:w="1056" w:type="dxa"/>
            <w:noWrap/>
            <w:hideMark/>
          </w:tcPr>
          <w:p w14:paraId="4BAE2EBD" w14:textId="77777777" w:rsidR="00794778" w:rsidRPr="00212746" w:rsidRDefault="00794778" w:rsidP="00F8518C">
            <w:pPr>
              <w:pStyle w:val="Table"/>
            </w:pPr>
            <w:r w:rsidRPr="00212746">
              <w:t>2</w:t>
            </w:r>
          </w:p>
        </w:tc>
        <w:tc>
          <w:tcPr>
            <w:tcW w:w="1056" w:type="dxa"/>
            <w:noWrap/>
            <w:hideMark/>
          </w:tcPr>
          <w:p w14:paraId="7443E199" w14:textId="77777777" w:rsidR="00794778" w:rsidRPr="00212746" w:rsidRDefault="00794778" w:rsidP="00F8518C">
            <w:pPr>
              <w:pStyle w:val="Table"/>
            </w:pPr>
            <w:r w:rsidRPr="00212746">
              <w:t>2.2</w:t>
            </w:r>
          </w:p>
        </w:tc>
        <w:tc>
          <w:tcPr>
            <w:tcW w:w="1266" w:type="dxa"/>
            <w:noWrap/>
            <w:hideMark/>
          </w:tcPr>
          <w:p w14:paraId="6B329BB9" w14:textId="77777777" w:rsidR="00794778" w:rsidRPr="00212746" w:rsidRDefault="00794778" w:rsidP="00F8518C">
            <w:pPr>
              <w:pStyle w:val="Table"/>
            </w:pPr>
            <w:r w:rsidRPr="00212746">
              <w:t>4.72</w:t>
            </w:r>
          </w:p>
        </w:tc>
        <w:tc>
          <w:tcPr>
            <w:tcW w:w="961" w:type="dxa"/>
            <w:noWrap/>
            <w:hideMark/>
          </w:tcPr>
          <w:p w14:paraId="0F8CECD7" w14:textId="77777777" w:rsidR="00794778" w:rsidRPr="00212746" w:rsidRDefault="00794778" w:rsidP="00F8518C">
            <w:pPr>
              <w:pStyle w:val="Table"/>
            </w:pPr>
            <w:r w:rsidRPr="00212746">
              <w:t>9.8%</w:t>
            </w:r>
          </w:p>
        </w:tc>
      </w:tr>
      <w:tr w:rsidR="00794778" w:rsidRPr="00212746" w14:paraId="6EF00345" w14:textId="77777777" w:rsidTr="00830374">
        <w:trPr>
          <w:trHeight w:val="260"/>
        </w:trPr>
        <w:tc>
          <w:tcPr>
            <w:tcW w:w="2489" w:type="dxa"/>
            <w:noWrap/>
            <w:hideMark/>
          </w:tcPr>
          <w:p w14:paraId="78E7546B" w14:textId="77777777" w:rsidR="00794778" w:rsidRPr="00212746" w:rsidRDefault="00794778" w:rsidP="00F8518C">
            <w:pPr>
              <w:pStyle w:val="Table"/>
            </w:pPr>
            <w:r w:rsidRPr="00212746">
              <w:t>Licence renewals</w:t>
            </w:r>
          </w:p>
        </w:tc>
        <w:tc>
          <w:tcPr>
            <w:tcW w:w="1376" w:type="dxa"/>
            <w:noWrap/>
            <w:hideMark/>
          </w:tcPr>
          <w:p w14:paraId="5D9E8CEC" w14:textId="77777777" w:rsidR="00794778" w:rsidRPr="00212746" w:rsidRDefault="00794778" w:rsidP="00F8518C">
            <w:pPr>
              <w:pStyle w:val="Table"/>
            </w:pPr>
            <w:r w:rsidRPr="00212746">
              <w:t>19.3</w:t>
            </w:r>
          </w:p>
        </w:tc>
        <w:tc>
          <w:tcPr>
            <w:tcW w:w="1056" w:type="dxa"/>
            <w:noWrap/>
            <w:hideMark/>
          </w:tcPr>
          <w:p w14:paraId="269123E9" w14:textId="77777777" w:rsidR="00794778" w:rsidRPr="00212746" w:rsidRDefault="00794778" w:rsidP="00F8518C">
            <w:pPr>
              <w:pStyle w:val="Table"/>
            </w:pPr>
            <w:r w:rsidRPr="00212746">
              <w:t>21.5</w:t>
            </w:r>
          </w:p>
        </w:tc>
        <w:tc>
          <w:tcPr>
            <w:tcW w:w="1056" w:type="dxa"/>
            <w:noWrap/>
            <w:hideMark/>
          </w:tcPr>
          <w:p w14:paraId="291B63E2" w14:textId="77777777" w:rsidR="00794778" w:rsidRPr="00212746" w:rsidRDefault="00794778" w:rsidP="00F8518C">
            <w:pPr>
              <w:pStyle w:val="Table"/>
            </w:pPr>
            <w:r w:rsidRPr="00212746">
              <w:t>22.9</w:t>
            </w:r>
          </w:p>
        </w:tc>
        <w:tc>
          <w:tcPr>
            <w:tcW w:w="1056" w:type="dxa"/>
            <w:noWrap/>
            <w:hideMark/>
          </w:tcPr>
          <w:p w14:paraId="1AD39E75" w14:textId="77777777" w:rsidR="00794778" w:rsidRPr="00212746" w:rsidRDefault="00794778" w:rsidP="00F8518C">
            <w:pPr>
              <w:pStyle w:val="Table"/>
            </w:pPr>
            <w:r w:rsidRPr="00212746">
              <w:t>21.4</w:t>
            </w:r>
          </w:p>
        </w:tc>
        <w:tc>
          <w:tcPr>
            <w:tcW w:w="1056" w:type="dxa"/>
            <w:noWrap/>
            <w:hideMark/>
          </w:tcPr>
          <w:p w14:paraId="4372C1AD" w14:textId="77777777" w:rsidR="00794778" w:rsidRPr="00212746" w:rsidRDefault="00794778" w:rsidP="00F8518C">
            <w:pPr>
              <w:pStyle w:val="Table"/>
            </w:pPr>
            <w:r w:rsidRPr="00212746">
              <w:t>19.2</w:t>
            </w:r>
          </w:p>
        </w:tc>
        <w:tc>
          <w:tcPr>
            <w:tcW w:w="1266" w:type="dxa"/>
            <w:noWrap/>
            <w:hideMark/>
          </w:tcPr>
          <w:p w14:paraId="247CD527" w14:textId="77777777" w:rsidR="00794778" w:rsidRPr="00212746" w:rsidRDefault="00794778" w:rsidP="00F8518C">
            <w:pPr>
              <w:pStyle w:val="Table"/>
            </w:pPr>
            <w:r w:rsidRPr="00212746">
              <w:t>20.86</w:t>
            </w:r>
          </w:p>
        </w:tc>
        <w:tc>
          <w:tcPr>
            <w:tcW w:w="961" w:type="dxa"/>
            <w:noWrap/>
            <w:hideMark/>
          </w:tcPr>
          <w:p w14:paraId="640A01B2" w14:textId="77777777" w:rsidR="00794778" w:rsidRPr="00212746" w:rsidRDefault="00794778" w:rsidP="00F8518C">
            <w:pPr>
              <w:pStyle w:val="Table"/>
            </w:pPr>
            <w:r w:rsidRPr="00212746">
              <w:t>43.3%</w:t>
            </w:r>
          </w:p>
        </w:tc>
      </w:tr>
      <w:tr w:rsidR="00794778" w:rsidRPr="00212746" w14:paraId="7A376343" w14:textId="77777777" w:rsidTr="00830374">
        <w:trPr>
          <w:trHeight w:val="260"/>
        </w:trPr>
        <w:tc>
          <w:tcPr>
            <w:tcW w:w="2489" w:type="dxa"/>
            <w:noWrap/>
            <w:hideMark/>
          </w:tcPr>
          <w:p w14:paraId="08BA66B4" w14:textId="77777777" w:rsidR="00794778" w:rsidRPr="00212746" w:rsidRDefault="00794778" w:rsidP="00F8518C">
            <w:pPr>
              <w:pStyle w:val="Table"/>
            </w:pPr>
            <w:r w:rsidRPr="00212746">
              <w:t>Tangible benefits</w:t>
            </w:r>
          </w:p>
        </w:tc>
        <w:tc>
          <w:tcPr>
            <w:tcW w:w="1376" w:type="dxa"/>
            <w:noWrap/>
            <w:hideMark/>
          </w:tcPr>
          <w:p w14:paraId="7202CBF3" w14:textId="77777777" w:rsidR="00794778" w:rsidRPr="00212746" w:rsidRDefault="00794778" w:rsidP="00F8518C">
            <w:pPr>
              <w:pStyle w:val="Table"/>
            </w:pPr>
            <w:r w:rsidRPr="00212746">
              <w:t>31.3</w:t>
            </w:r>
          </w:p>
        </w:tc>
        <w:tc>
          <w:tcPr>
            <w:tcW w:w="1056" w:type="dxa"/>
            <w:noWrap/>
            <w:hideMark/>
          </w:tcPr>
          <w:p w14:paraId="70570AD5" w14:textId="77777777" w:rsidR="00794778" w:rsidRPr="00212746" w:rsidRDefault="00794778" w:rsidP="00F8518C">
            <w:pPr>
              <w:pStyle w:val="Table"/>
            </w:pPr>
            <w:r w:rsidRPr="00212746">
              <w:t>19.4</w:t>
            </w:r>
          </w:p>
        </w:tc>
        <w:tc>
          <w:tcPr>
            <w:tcW w:w="1056" w:type="dxa"/>
            <w:noWrap/>
            <w:hideMark/>
          </w:tcPr>
          <w:p w14:paraId="56477A66" w14:textId="77777777" w:rsidR="00794778" w:rsidRPr="00212746" w:rsidRDefault="00794778" w:rsidP="00F8518C">
            <w:pPr>
              <w:pStyle w:val="Table"/>
            </w:pPr>
            <w:r w:rsidRPr="00212746">
              <w:t>20</w:t>
            </w:r>
          </w:p>
        </w:tc>
        <w:tc>
          <w:tcPr>
            <w:tcW w:w="1056" w:type="dxa"/>
            <w:noWrap/>
            <w:hideMark/>
          </w:tcPr>
          <w:p w14:paraId="0F2F7FFD" w14:textId="77777777" w:rsidR="00794778" w:rsidRPr="00212746" w:rsidRDefault="00794778" w:rsidP="00F8518C">
            <w:pPr>
              <w:pStyle w:val="Table"/>
            </w:pPr>
            <w:r w:rsidRPr="00212746">
              <w:t>20.2</w:t>
            </w:r>
          </w:p>
        </w:tc>
        <w:tc>
          <w:tcPr>
            <w:tcW w:w="1056" w:type="dxa"/>
            <w:noWrap/>
            <w:hideMark/>
          </w:tcPr>
          <w:p w14:paraId="2C4DB3B9" w14:textId="77777777" w:rsidR="00794778" w:rsidRPr="00212746" w:rsidRDefault="00794778" w:rsidP="00F8518C">
            <w:pPr>
              <w:pStyle w:val="Table"/>
            </w:pPr>
            <w:r w:rsidRPr="00212746">
              <w:t>22.3</w:t>
            </w:r>
          </w:p>
        </w:tc>
        <w:tc>
          <w:tcPr>
            <w:tcW w:w="1266" w:type="dxa"/>
            <w:noWrap/>
            <w:hideMark/>
          </w:tcPr>
          <w:p w14:paraId="3BF49D7E" w14:textId="77777777" w:rsidR="00794778" w:rsidRPr="00212746" w:rsidRDefault="00794778" w:rsidP="00F8518C">
            <w:pPr>
              <w:pStyle w:val="Table"/>
            </w:pPr>
            <w:r w:rsidRPr="00212746">
              <w:t>22.64</w:t>
            </w:r>
          </w:p>
        </w:tc>
        <w:tc>
          <w:tcPr>
            <w:tcW w:w="961" w:type="dxa"/>
            <w:noWrap/>
            <w:hideMark/>
          </w:tcPr>
          <w:p w14:paraId="324ACA15" w14:textId="77777777" w:rsidR="00794778" w:rsidRPr="00212746" w:rsidRDefault="00794778" w:rsidP="00F8518C">
            <w:pPr>
              <w:pStyle w:val="Table"/>
            </w:pPr>
            <w:r w:rsidRPr="00212746">
              <w:t>47.0%</w:t>
            </w:r>
          </w:p>
        </w:tc>
      </w:tr>
      <w:tr w:rsidR="00794778" w:rsidRPr="00212746" w14:paraId="31F07145" w14:textId="77777777" w:rsidTr="00830374">
        <w:trPr>
          <w:trHeight w:val="260"/>
        </w:trPr>
        <w:tc>
          <w:tcPr>
            <w:tcW w:w="2489" w:type="dxa"/>
            <w:noWrap/>
            <w:hideMark/>
          </w:tcPr>
          <w:p w14:paraId="39E8072A" w14:textId="77777777" w:rsidR="00794778" w:rsidRPr="004555A5" w:rsidRDefault="00794778" w:rsidP="00F8518C">
            <w:pPr>
              <w:pStyle w:val="Table"/>
              <w:rPr>
                <w:b/>
                <w:bCs/>
              </w:rPr>
            </w:pPr>
            <w:r w:rsidRPr="004555A5">
              <w:rPr>
                <w:b/>
                <w:bCs/>
              </w:rPr>
              <w:t>Total CCD expenditures</w:t>
            </w:r>
          </w:p>
        </w:tc>
        <w:tc>
          <w:tcPr>
            <w:tcW w:w="1376" w:type="dxa"/>
            <w:noWrap/>
            <w:hideMark/>
          </w:tcPr>
          <w:p w14:paraId="1567999F" w14:textId="77777777" w:rsidR="00794778" w:rsidRPr="004555A5" w:rsidRDefault="00794778" w:rsidP="00F8518C">
            <w:pPr>
              <w:pStyle w:val="Table"/>
              <w:rPr>
                <w:b/>
                <w:bCs/>
              </w:rPr>
            </w:pPr>
            <w:r w:rsidRPr="004555A5">
              <w:rPr>
                <w:b/>
                <w:bCs/>
              </w:rPr>
              <w:t>59.5</w:t>
            </w:r>
          </w:p>
        </w:tc>
        <w:tc>
          <w:tcPr>
            <w:tcW w:w="1056" w:type="dxa"/>
            <w:noWrap/>
            <w:hideMark/>
          </w:tcPr>
          <w:p w14:paraId="427D278D" w14:textId="77777777" w:rsidR="00794778" w:rsidRPr="004555A5" w:rsidRDefault="00794778" w:rsidP="00F8518C">
            <w:pPr>
              <w:pStyle w:val="Table"/>
              <w:rPr>
                <w:b/>
                <w:bCs/>
              </w:rPr>
            </w:pPr>
            <w:r w:rsidRPr="004555A5">
              <w:rPr>
                <w:b/>
                <w:bCs/>
              </w:rPr>
              <w:t>47.7</w:t>
            </w:r>
          </w:p>
        </w:tc>
        <w:tc>
          <w:tcPr>
            <w:tcW w:w="1056" w:type="dxa"/>
            <w:noWrap/>
            <w:hideMark/>
          </w:tcPr>
          <w:p w14:paraId="56632E4E" w14:textId="77777777" w:rsidR="00794778" w:rsidRPr="004555A5" w:rsidRDefault="00794778" w:rsidP="00F8518C">
            <w:pPr>
              <w:pStyle w:val="Table"/>
              <w:rPr>
                <w:b/>
                <w:bCs/>
              </w:rPr>
            </w:pPr>
            <w:r w:rsidRPr="004555A5">
              <w:rPr>
                <w:b/>
                <w:bCs/>
              </w:rPr>
              <w:t>46.6</w:t>
            </w:r>
          </w:p>
        </w:tc>
        <w:tc>
          <w:tcPr>
            <w:tcW w:w="1056" w:type="dxa"/>
            <w:noWrap/>
            <w:hideMark/>
          </w:tcPr>
          <w:p w14:paraId="35F43742" w14:textId="77777777" w:rsidR="00794778" w:rsidRPr="004555A5" w:rsidRDefault="00794778" w:rsidP="00F8518C">
            <w:pPr>
              <w:pStyle w:val="Table"/>
              <w:rPr>
                <w:b/>
                <w:bCs/>
              </w:rPr>
            </w:pPr>
            <w:r w:rsidRPr="004555A5">
              <w:rPr>
                <w:b/>
                <w:bCs/>
              </w:rPr>
              <w:t>43.6</w:t>
            </w:r>
          </w:p>
        </w:tc>
        <w:tc>
          <w:tcPr>
            <w:tcW w:w="1056" w:type="dxa"/>
            <w:noWrap/>
            <w:hideMark/>
          </w:tcPr>
          <w:p w14:paraId="74F8BF68" w14:textId="77777777" w:rsidR="00794778" w:rsidRPr="004555A5" w:rsidRDefault="00794778" w:rsidP="00F8518C">
            <w:pPr>
              <w:pStyle w:val="Table"/>
              <w:rPr>
                <w:b/>
                <w:bCs/>
              </w:rPr>
            </w:pPr>
            <w:r w:rsidRPr="004555A5">
              <w:rPr>
                <w:b/>
                <w:bCs/>
              </w:rPr>
              <w:t>43.7</w:t>
            </w:r>
          </w:p>
        </w:tc>
        <w:tc>
          <w:tcPr>
            <w:tcW w:w="1266" w:type="dxa"/>
            <w:noWrap/>
            <w:hideMark/>
          </w:tcPr>
          <w:p w14:paraId="05D3F039" w14:textId="77777777" w:rsidR="00794778" w:rsidRPr="004555A5" w:rsidRDefault="00794778" w:rsidP="00F8518C">
            <w:pPr>
              <w:pStyle w:val="Table"/>
              <w:rPr>
                <w:b/>
                <w:bCs/>
              </w:rPr>
            </w:pPr>
            <w:r w:rsidRPr="004555A5">
              <w:rPr>
                <w:b/>
                <w:bCs/>
              </w:rPr>
              <w:t>48.22</w:t>
            </w:r>
          </w:p>
        </w:tc>
        <w:tc>
          <w:tcPr>
            <w:tcW w:w="961" w:type="dxa"/>
            <w:noWrap/>
            <w:hideMark/>
          </w:tcPr>
          <w:p w14:paraId="2EB35C80" w14:textId="77777777" w:rsidR="00794778" w:rsidRPr="004555A5" w:rsidRDefault="00794778" w:rsidP="00F8518C">
            <w:pPr>
              <w:pStyle w:val="Table"/>
              <w:rPr>
                <w:b/>
                <w:bCs/>
              </w:rPr>
            </w:pPr>
            <w:r w:rsidRPr="004555A5">
              <w:rPr>
                <w:b/>
                <w:bCs/>
              </w:rPr>
              <w:t>100.0%</w:t>
            </w:r>
          </w:p>
        </w:tc>
      </w:tr>
      <w:tr w:rsidR="00794778" w:rsidRPr="00212746" w14:paraId="3AB05BDE" w14:textId="77777777" w:rsidTr="00830374">
        <w:trPr>
          <w:trHeight w:val="260"/>
        </w:trPr>
        <w:tc>
          <w:tcPr>
            <w:tcW w:w="2489" w:type="dxa"/>
            <w:noWrap/>
          </w:tcPr>
          <w:p w14:paraId="70362494" w14:textId="77777777" w:rsidR="00794778" w:rsidRPr="00212746" w:rsidRDefault="00794778" w:rsidP="00F8518C">
            <w:pPr>
              <w:pStyle w:val="Table"/>
            </w:pPr>
            <w:r>
              <w:t>Total radio revenues</w:t>
            </w:r>
          </w:p>
        </w:tc>
        <w:tc>
          <w:tcPr>
            <w:tcW w:w="1376" w:type="dxa"/>
            <w:noWrap/>
          </w:tcPr>
          <w:p w14:paraId="68262AAA" w14:textId="77777777" w:rsidR="00794778" w:rsidRPr="00212746" w:rsidRDefault="00794778" w:rsidP="00F8518C">
            <w:pPr>
              <w:pStyle w:val="Table"/>
            </w:pPr>
            <w:r>
              <w:t>$1,613.5</w:t>
            </w:r>
          </w:p>
        </w:tc>
        <w:tc>
          <w:tcPr>
            <w:tcW w:w="1056" w:type="dxa"/>
            <w:noWrap/>
          </w:tcPr>
          <w:p w14:paraId="1B3FA0FD" w14:textId="77777777" w:rsidR="00794778" w:rsidRPr="00212746" w:rsidRDefault="00794778" w:rsidP="00F8518C">
            <w:pPr>
              <w:pStyle w:val="Table"/>
            </w:pPr>
            <w:r>
              <w:t>$1,602.3</w:t>
            </w:r>
          </w:p>
        </w:tc>
        <w:tc>
          <w:tcPr>
            <w:tcW w:w="1056" w:type="dxa"/>
            <w:noWrap/>
          </w:tcPr>
          <w:p w14:paraId="730FCC98" w14:textId="77777777" w:rsidR="00794778" w:rsidRPr="00212746" w:rsidRDefault="00794778" w:rsidP="00F8518C">
            <w:pPr>
              <w:pStyle w:val="Table"/>
            </w:pPr>
            <w:r>
              <w:t>$1,550.5</w:t>
            </w:r>
          </w:p>
        </w:tc>
        <w:tc>
          <w:tcPr>
            <w:tcW w:w="1056" w:type="dxa"/>
            <w:noWrap/>
          </w:tcPr>
          <w:p w14:paraId="4028D662" w14:textId="77777777" w:rsidR="00794778" w:rsidRPr="00212746" w:rsidRDefault="00794778" w:rsidP="00F8518C">
            <w:pPr>
              <w:pStyle w:val="Table"/>
            </w:pPr>
            <w:r>
              <w:t>$1,520.6</w:t>
            </w:r>
          </w:p>
        </w:tc>
        <w:tc>
          <w:tcPr>
            <w:tcW w:w="1056" w:type="dxa"/>
            <w:noWrap/>
          </w:tcPr>
          <w:p w14:paraId="79B54E7B" w14:textId="77777777" w:rsidR="00794778" w:rsidRPr="00212746" w:rsidRDefault="00794778" w:rsidP="00F8518C">
            <w:pPr>
              <w:pStyle w:val="Table"/>
            </w:pPr>
            <w:r>
              <w:t>$1,513.1</w:t>
            </w:r>
          </w:p>
        </w:tc>
        <w:tc>
          <w:tcPr>
            <w:tcW w:w="1266" w:type="dxa"/>
            <w:noWrap/>
          </w:tcPr>
          <w:p w14:paraId="3B90BF91" w14:textId="77777777" w:rsidR="00794778" w:rsidRPr="00212746" w:rsidRDefault="00794778" w:rsidP="00F8518C">
            <w:pPr>
              <w:pStyle w:val="Table"/>
            </w:pPr>
          </w:p>
        </w:tc>
        <w:tc>
          <w:tcPr>
            <w:tcW w:w="961" w:type="dxa"/>
            <w:noWrap/>
          </w:tcPr>
          <w:p w14:paraId="3B11F352" w14:textId="77777777" w:rsidR="00794778" w:rsidRPr="00212746" w:rsidRDefault="00794778" w:rsidP="00F8518C">
            <w:pPr>
              <w:pStyle w:val="Table"/>
            </w:pPr>
          </w:p>
        </w:tc>
      </w:tr>
      <w:tr w:rsidR="00794778" w:rsidRPr="00212746" w14:paraId="0000A5D4" w14:textId="77777777" w:rsidTr="00830374">
        <w:trPr>
          <w:trHeight w:val="260"/>
        </w:trPr>
        <w:tc>
          <w:tcPr>
            <w:tcW w:w="10316" w:type="dxa"/>
            <w:gridSpan w:val="8"/>
            <w:noWrap/>
          </w:tcPr>
          <w:p w14:paraId="1AC12DA4" w14:textId="77777777" w:rsidR="00794778" w:rsidRPr="00212746" w:rsidRDefault="00794778" w:rsidP="00F8518C">
            <w:pPr>
              <w:pStyle w:val="Table"/>
            </w:pPr>
            <w:r>
              <w:t xml:space="preserve">Source of 2013/14 – 2017/18 data, CRTC, </w:t>
            </w:r>
            <w:r>
              <w:rPr>
                <w:i/>
                <w:iCs/>
              </w:rPr>
              <w:t>2019 Communications Monitoring Report</w:t>
            </w:r>
            <w:r>
              <w:t>, Figure 5.3</w:t>
            </w:r>
          </w:p>
        </w:tc>
      </w:tr>
    </w:tbl>
    <w:p w14:paraId="712D0E50" w14:textId="44A16B18" w:rsidR="00794778" w:rsidRDefault="00794778" w:rsidP="008B5690">
      <w:pPr>
        <w:pStyle w:val="FRPCintPara"/>
        <w:numPr>
          <w:ilvl w:val="0"/>
          <w:numId w:val="0"/>
        </w:numPr>
        <w:ind w:left="720" w:hanging="720"/>
      </w:pPr>
    </w:p>
    <w:tbl>
      <w:tblPr>
        <w:tblW w:w="10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1320"/>
        <w:gridCol w:w="1328"/>
        <w:gridCol w:w="1336"/>
        <w:gridCol w:w="1336"/>
        <w:gridCol w:w="1341"/>
      </w:tblGrid>
      <w:tr w:rsidR="001C5547" w14:paraId="7E1011A6" w14:textId="77777777" w:rsidTr="005B7278">
        <w:trPr>
          <w:trHeight w:val="20"/>
        </w:trPr>
        <w:tc>
          <w:tcPr>
            <w:tcW w:w="3595" w:type="dxa"/>
            <w:shd w:val="clear" w:color="FFFFFF" w:fill="FFFFFF"/>
            <w:noWrap/>
            <w:vAlign w:val="bottom"/>
          </w:tcPr>
          <w:p w14:paraId="72EFA560" w14:textId="77777777" w:rsidR="001C5547" w:rsidRDefault="001C5547" w:rsidP="00F8518C">
            <w:pPr>
              <w:rPr>
                <w:rFonts w:ascii="Arial" w:hAnsi="Arial" w:cs="Arial"/>
                <w:b/>
                <w:bCs/>
                <w:color w:val="000000"/>
                <w:sz w:val="20"/>
                <w:szCs w:val="20"/>
              </w:rPr>
            </w:pPr>
            <w:r>
              <w:rPr>
                <w:rFonts w:ascii="Arial" w:hAnsi="Arial" w:cs="Arial"/>
                <w:b/>
                <w:bCs/>
                <w:color w:val="000000"/>
                <w:sz w:val="20"/>
                <w:szCs w:val="20"/>
              </w:rPr>
              <w:t>CPE ($ millions)</w:t>
            </w:r>
          </w:p>
        </w:tc>
        <w:tc>
          <w:tcPr>
            <w:tcW w:w="1320" w:type="dxa"/>
            <w:shd w:val="clear" w:color="FFFFFF" w:fill="FFFFFF"/>
            <w:noWrap/>
            <w:vAlign w:val="bottom"/>
          </w:tcPr>
          <w:p w14:paraId="6EA853A0" w14:textId="77777777" w:rsidR="001C5547" w:rsidRPr="00AA0546" w:rsidRDefault="001C5547" w:rsidP="00F8518C">
            <w:pPr>
              <w:pStyle w:val="Table"/>
              <w:rPr>
                <w:b/>
                <w:bCs/>
              </w:rPr>
            </w:pPr>
            <w:r w:rsidRPr="00AA0546">
              <w:rPr>
                <w:b/>
                <w:bCs/>
              </w:rPr>
              <w:t>2014/15</w:t>
            </w:r>
          </w:p>
        </w:tc>
        <w:tc>
          <w:tcPr>
            <w:tcW w:w="1328" w:type="dxa"/>
            <w:shd w:val="clear" w:color="FFFFFF" w:fill="FFFFFF"/>
            <w:noWrap/>
            <w:vAlign w:val="bottom"/>
          </w:tcPr>
          <w:p w14:paraId="4A9D15CA" w14:textId="77777777" w:rsidR="001C5547" w:rsidRPr="00AA0546" w:rsidRDefault="001C5547" w:rsidP="00F8518C">
            <w:pPr>
              <w:pStyle w:val="Table"/>
              <w:rPr>
                <w:b/>
                <w:bCs/>
              </w:rPr>
            </w:pPr>
            <w:r w:rsidRPr="00AA0546">
              <w:rPr>
                <w:b/>
                <w:bCs/>
              </w:rPr>
              <w:t>2015/16</w:t>
            </w:r>
          </w:p>
        </w:tc>
        <w:tc>
          <w:tcPr>
            <w:tcW w:w="1336" w:type="dxa"/>
            <w:shd w:val="clear" w:color="FFFFFF" w:fill="FFFFFF"/>
            <w:noWrap/>
            <w:vAlign w:val="bottom"/>
          </w:tcPr>
          <w:p w14:paraId="0759B92F" w14:textId="77777777" w:rsidR="001C5547" w:rsidRPr="00AA0546" w:rsidRDefault="001C5547" w:rsidP="00F8518C">
            <w:pPr>
              <w:pStyle w:val="Table"/>
              <w:rPr>
                <w:b/>
                <w:bCs/>
              </w:rPr>
            </w:pPr>
            <w:r w:rsidRPr="00AA0546">
              <w:rPr>
                <w:b/>
                <w:bCs/>
              </w:rPr>
              <w:t>2016/17</w:t>
            </w:r>
          </w:p>
        </w:tc>
        <w:tc>
          <w:tcPr>
            <w:tcW w:w="1336" w:type="dxa"/>
            <w:shd w:val="clear" w:color="FFFFFF" w:fill="FFFFFF"/>
            <w:noWrap/>
            <w:vAlign w:val="bottom"/>
          </w:tcPr>
          <w:p w14:paraId="1821E88A" w14:textId="77777777" w:rsidR="001C5547" w:rsidRPr="00AA0546" w:rsidRDefault="001C5547" w:rsidP="00F8518C">
            <w:pPr>
              <w:pStyle w:val="Table"/>
              <w:rPr>
                <w:b/>
                <w:bCs/>
              </w:rPr>
            </w:pPr>
            <w:r w:rsidRPr="00AA0546">
              <w:rPr>
                <w:b/>
                <w:bCs/>
              </w:rPr>
              <w:t>2017/18</w:t>
            </w:r>
          </w:p>
        </w:tc>
        <w:tc>
          <w:tcPr>
            <w:tcW w:w="1341" w:type="dxa"/>
            <w:shd w:val="clear" w:color="FFFFFF" w:fill="FFFFFF"/>
            <w:noWrap/>
            <w:vAlign w:val="bottom"/>
          </w:tcPr>
          <w:p w14:paraId="67E2ACE7" w14:textId="77777777" w:rsidR="001C5547" w:rsidRPr="00AA0546" w:rsidRDefault="001C5547" w:rsidP="00F8518C">
            <w:pPr>
              <w:pStyle w:val="Table"/>
              <w:rPr>
                <w:b/>
                <w:bCs/>
              </w:rPr>
            </w:pPr>
            <w:r w:rsidRPr="00AA0546">
              <w:rPr>
                <w:b/>
                <w:bCs/>
              </w:rPr>
              <w:t>2018/19</w:t>
            </w:r>
          </w:p>
        </w:tc>
      </w:tr>
      <w:tr w:rsidR="001C5547" w14:paraId="564CD18B" w14:textId="77777777" w:rsidTr="005B7278">
        <w:trPr>
          <w:trHeight w:val="20"/>
        </w:trPr>
        <w:tc>
          <w:tcPr>
            <w:tcW w:w="3595" w:type="dxa"/>
            <w:shd w:val="clear" w:color="FFFFFF" w:fill="FFFFFF"/>
            <w:noWrap/>
            <w:vAlign w:val="bottom"/>
            <w:hideMark/>
          </w:tcPr>
          <w:p w14:paraId="4982178C" w14:textId="77777777" w:rsidR="001C5547" w:rsidRPr="006B1B73" w:rsidRDefault="001C5547" w:rsidP="00F8518C">
            <w:pPr>
              <w:rPr>
                <w:rFonts w:asciiTheme="minorHAnsi" w:hAnsiTheme="minorHAnsi" w:cstheme="minorHAnsi"/>
                <w:color w:val="000000"/>
                <w:sz w:val="20"/>
                <w:szCs w:val="20"/>
              </w:rPr>
            </w:pPr>
            <w:r w:rsidRPr="006B1B73">
              <w:rPr>
                <w:rFonts w:asciiTheme="minorHAnsi" w:hAnsiTheme="minorHAnsi" w:cstheme="minorHAnsi"/>
                <w:color w:val="000000"/>
                <w:sz w:val="20"/>
                <w:szCs w:val="20"/>
              </w:rPr>
              <w:t>Canadian Programming Expenses (CPE)</w:t>
            </w:r>
          </w:p>
        </w:tc>
        <w:tc>
          <w:tcPr>
            <w:tcW w:w="1320" w:type="dxa"/>
            <w:shd w:val="clear" w:color="FFFFFF" w:fill="FFFFFF"/>
            <w:noWrap/>
            <w:vAlign w:val="bottom"/>
            <w:hideMark/>
          </w:tcPr>
          <w:p w14:paraId="1ECE34A5" w14:textId="77777777" w:rsidR="001C5547" w:rsidRPr="00AA0546" w:rsidRDefault="001C5547" w:rsidP="00F8518C">
            <w:pPr>
              <w:jc w:val="right"/>
              <w:rPr>
                <w:rFonts w:asciiTheme="minorHAnsi" w:hAnsiTheme="minorHAnsi" w:cstheme="minorHAnsi"/>
                <w:color w:val="000000"/>
                <w:sz w:val="22"/>
                <w:szCs w:val="22"/>
              </w:rPr>
            </w:pPr>
            <w:r w:rsidRPr="00AA0546">
              <w:rPr>
                <w:rFonts w:asciiTheme="minorHAnsi" w:hAnsiTheme="minorHAnsi" w:cstheme="minorHAnsi"/>
                <w:color w:val="000000"/>
                <w:sz w:val="22"/>
                <w:szCs w:val="22"/>
              </w:rPr>
              <w:t>$655.7</w:t>
            </w:r>
          </w:p>
        </w:tc>
        <w:tc>
          <w:tcPr>
            <w:tcW w:w="1328" w:type="dxa"/>
            <w:shd w:val="clear" w:color="FFFFFF" w:fill="FFFFFF"/>
            <w:noWrap/>
            <w:vAlign w:val="bottom"/>
            <w:hideMark/>
          </w:tcPr>
          <w:p w14:paraId="67C66F29" w14:textId="77777777" w:rsidR="001C5547" w:rsidRPr="00AA0546" w:rsidRDefault="001C5547" w:rsidP="00F8518C">
            <w:pPr>
              <w:jc w:val="right"/>
              <w:rPr>
                <w:rFonts w:asciiTheme="minorHAnsi" w:hAnsiTheme="minorHAnsi" w:cstheme="minorHAnsi"/>
                <w:color w:val="000000"/>
                <w:sz w:val="22"/>
                <w:szCs w:val="22"/>
              </w:rPr>
            </w:pPr>
            <w:r w:rsidRPr="00AA0546">
              <w:rPr>
                <w:rFonts w:asciiTheme="minorHAnsi" w:hAnsiTheme="minorHAnsi" w:cstheme="minorHAnsi"/>
                <w:color w:val="000000"/>
                <w:sz w:val="22"/>
                <w:szCs w:val="22"/>
              </w:rPr>
              <w:t>$633.7</w:t>
            </w:r>
          </w:p>
        </w:tc>
        <w:tc>
          <w:tcPr>
            <w:tcW w:w="1336" w:type="dxa"/>
            <w:shd w:val="clear" w:color="FFFFFF" w:fill="FFFFFF"/>
            <w:noWrap/>
            <w:vAlign w:val="bottom"/>
            <w:hideMark/>
          </w:tcPr>
          <w:p w14:paraId="42A37433" w14:textId="77777777" w:rsidR="001C5547" w:rsidRPr="00AA0546" w:rsidRDefault="001C5547" w:rsidP="00F8518C">
            <w:pPr>
              <w:jc w:val="right"/>
              <w:rPr>
                <w:rFonts w:asciiTheme="minorHAnsi" w:hAnsiTheme="minorHAnsi" w:cstheme="minorHAnsi"/>
                <w:color w:val="000000"/>
                <w:sz w:val="22"/>
                <w:szCs w:val="22"/>
              </w:rPr>
            </w:pPr>
            <w:r w:rsidRPr="00AA0546">
              <w:rPr>
                <w:rFonts w:asciiTheme="minorHAnsi" w:hAnsiTheme="minorHAnsi" w:cstheme="minorHAnsi"/>
                <w:color w:val="000000"/>
                <w:sz w:val="22"/>
                <w:szCs w:val="22"/>
              </w:rPr>
              <w:t>$618.2</w:t>
            </w:r>
          </w:p>
        </w:tc>
        <w:tc>
          <w:tcPr>
            <w:tcW w:w="1336" w:type="dxa"/>
            <w:shd w:val="clear" w:color="FFFFFF" w:fill="FFFFFF"/>
            <w:noWrap/>
            <w:vAlign w:val="bottom"/>
            <w:hideMark/>
          </w:tcPr>
          <w:p w14:paraId="13ADAF7B" w14:textId="77777777" w:rsidR="001C5547" w:rsidRPr="00AA0546" w:rsidRDefault="001C5547" w:rsidP="00F8518C">
            <w:pPr>
              <w:jc w:val="right"/>
              <w:rPr>
                <w:rFonts w:asciiTheme="minorHAnsi" w:hAnsiTheme="minorHAnsi" w:cstheme="minorHAnsi"/>
                <w:color w:val="000000"/>
                <w:sz w:val="22"/>
                <w:szCs w:val="22"/>
              </w:rPr>
            </w:pPr>
            <w:r w:rsidRPr="00AA0546">
              <w:rPr>
                <w:rFonts w:asciiTheme="minorHAnsi" w:hAnsiTheme="minorHAnsi" w:cstheme="minorHAnsi"/>
                <w:color w:val="000000"/>
                <w:sz w:val="22"/>
                <w:szCs w:val="22"/>
              </w:rPr>
              <w:t>$655.3</w:t>
            </w:r>
          </w:p>
        </w:tc>
        <w:tc>
          <w:tcPr>
            <w:tcW w:w="1341" w:type="dxa"/>
            <w:shd w:val="clear" w:color="FFFFFF" w:fill="FFFFFF"/>
            <w:noWrap/>
            <w:vAlign w:val="bottom"/>
            <w:hideMark/>
          </w:tcPr>
          <w:p w14:paraId="0931CB31" w14:textId="77777777" w:rsidR="001C5547" w:rsidRPr="00AA0546" w:rsidRDefault="001C5547" w:rsidP="00F8518C">
            <w:pPr>
              <w:jc w:val="right"/>
              <w:rPr>
                <w:rFonts w:asciiTheme="minorHAnsi" w:hAnsiTheme="minorHAnsi" w:cstheme="minorHAnsi"/>
                <w:color w:val="000000"/>
                <w:sz w:val="22"/>
                <w:szCs w:val="22"/>
              </w:rPr>
            </w:pPr>
            <w:r w:rsidRPr="00AA0546">
              <w:rPr>
                <w:rFonts w:asciiTheme="minorHAnsi" w:hAnsiTheme="minorHAnsi" w:cstheme="minorHAnsi"/>
                <w:color w:val="000000"/>
                <w:sz w:val="22"/>
                <w:szCs w:val="22"/>
              </w:rPr>
              <w:t>$669.9</w:t>
            </w:r>
          </w:p>
        </w:tc>
      </w:tr>
      <w:tr w:rsidR="001C5547" w14:paraId="141933C6" w14:textId="77777777" w:rsidTr="005B7278">
        <w:trPr>
          <w:trHeight w:val="20"/>
        </w:trPr>
        <w:tc>
          <w:tcPr>
            <w:tcW w:w="3595" w:type="dxa"/>
            <w:shd w:val="clear" w:color="FFFFFF" w:fill="FFFFFF"/>
            <w:noWrap/>
            <w:vAlign w:val="bottom"/>
            <w:hideMark/>
          </w:tcPr>
          <w:p w14:paraId="5C0FAAEB" w14:textId="77777777" w:rsidR="001C5547" w:rsidRPr="006B1B73" w:rsidRDefault="001C5547" w:rsidP="00F8518C">
            <w:pPr>
              <w:rPr>
                <w:rFonts w:asciiTheme="minorHAnsi" w:hAnsiTheme="minorHAnsi" w:cstheme="minorHAnsi"/>
                <w:color w:val="000000"/>
                <w:sz w:val="20"/>
                <w:szCs w:val="20"/>
              </w:rPr>
            </w:pPr>
            <w:r w:rsidRPr="006B1B73">
              <w:rPr>
                <w:rFonts w:asciiTheme="minorHAnsi" w:hAnsiTheme="minorHAnsi" w:cstheme="minorHAnsi"/>
                <w:color w:val="000000"/>
                <w:sz w:val="20"/>
                <w:szCs w:val="20"/>
              </w:rPr>
              <w:t>CPE / Revenue (%)</w:t>
            </w:r>
          </w:p>
        </w:tc>
        <w:tc>
          <w:tcPr>
            <w:tcW w:w="1320" w:type="dxa"/>
            <w:shd w:val="clear" w:color="FFFFFF" w:fill="FFFFFF"/>
            <w:noWrap/>
            <w:vAlign w:val="bottom"/>
            <w:hideMark/>
          </w:tcPr>
          <w:p w14:paraId="601CE903" w14:textId="77777777" w:rsidR="001C5547" w:rsidRPr="00AA0546" w:rsidRDefault="001C5547" w:rsidP="00F8518C">
            <w:pPr>
              <w:jc w:val="right"/>
              <w:rPr>
                <w:rFonts w:asciiTheme="minorHAnsi" w:hAnsiTheme="minorHAnsi" w:cstheme="minorHAnsi"/>
                <w:color w:val="000000"/>
                <w:sz w:val="22"/>
                <w:szCs w:val="22"/>
              </w:rPr>
            </w:pPr>
            <w:r w:rsidRPr="00AA0546">
              <w:rPr>
                <w:rFonts w:asciiTheme="minorHAnsi" w:hAnsiTheme="minorHAnsi" w:cstheme="minorHAnsi"/>
                <w:color w:val="000000"/>
                <w:sz w:val="22"/>
                <w:szCs w:val="22"/>
              </w:rPr>
              <w:t>37.3</w:t>
            </w:r>
          </w:p>
        </w:tc>
        <w:tc>
          <w:tcPr>
            <w:tcW w:w="1328" w:type="dxa"/>
            <w:shd w:val="clear" w:color="FFFFFF" w:fill="FFFFFF"/>
            <w:noWrap/>
            <w:vAlign w:val="bottom"/>
            <w:hideMark/>
          </w:tcPr>
          <w:p w14:paraId="50240AA8" w14:textId="77777777" w:rsidR="001C5547" w:rsidRPr="00AA0546" w:rsidRDefault="001C5547" w:rsidP="00F8518C">
            <w:pPr>
              <w:jc w:val="right"/>
              <w:rPr>
                <w:rFonts w:asciiTheme="minorHAnsi" w:hAnsiTheme="minorHAnsi" w:cstheme="minorHAnsi"/>
                <w:color w:val="000000"/>
                <w:sz w:val="22"/>
                <w:szCs w:val="22"/>
              </w:rPr>
            </w:pPr>
            <w:r w:rsidRPr="00AA0546">
              <w:rPr>
                <w:rFonts w:asciiTheme="minorHAnsi" w:hAnsiTheme="minorHAnsi" w:cstheme="minorHAnsi"/>
                <w:color w:val="000000"/>
                <w:sz w:val="22"/>
                <w:szCs w:val="22"/>
              </w:rPr>
              <w:t>37.8</w:t>
            </w:r>
          </w:p>
        </w:tc>
        <w:tc>
          <w:tcPr>
            <w:tcW w:w="1336" w:type="dxa"/>
            <w:shd w:val="clear" w:color="FFFFFF" w:fill="FFFFFF"/>
            <w:noWrap/>
            <w:vAlign w:val="bottom"/>
            <w:hideMark/>
          </w:tcPr>
          <w:p w14:paraId="11B99E75" w14:textId="77777777" w:rsidR="001C5547" w:rsidRPr="00AA0546" w:rsidRDefault="001C5547" w:rsidP="00F8518C">
            <w:pPr>
              <w:jc w:val="right"/>
              <w:rPr>
                <w:rFonts w:asciiTheme="minorHAnsi" w:hAnsiTheme="minorHAnsi" w:cstheme="minorHAnsi"/>
                <w:color w:val="000000"/>
                <w:sz w:val="22"/>
                <w:szCs w:val="22"/>
              </w:rPr>
            </w:pPr>
            <w:r w:rsidRPr="00AA0546">
              <w:rPr>
                <w:rFonts w:asciiTheme="minorHAnsi" w:hAnsiTheme="minorHAnsi" w:cstheme="minorHAnsi"/>
                <w:color w:val="000000"/>
                <w:sz w:val="22"/>
                <w:szCs w:val="22"/>
              </w:rPr>
              <w:t>38.4</w:t>
            </w:r>
          </w:p>
        </w:tc>
        <w:tc>
          <w:tcPr>
            <w:tcW w:w="1336" w:type="dxa"/>
            <w:shd w:val="clear" w:color="FFFFFF" w:fill="FFFFFF"/>
            <w:noWrap/>
            <w:vAlign w:val="bottom"/>
            <w:hideMark/>
          </w:tcPr>
          <w:p w14:paraId="1900B6AA" w14:textId="77777777" w:rsidR="001C5547" w:rsidRPr="00AA0546" w:rsidRDefault="001C5547" w:rsidP="00F8518C">
            <w:pPr>
              <w:jc w:val="right"/>
              <w:rPr>
                <w:rFonts w:asciiTheme="minorHAnsi" w:hAnsiTheme="minorHAnsi" w:cstheme="minorHAnsi"/>
                <w:color w:val="000000"/>
                <w:sz w:val="22"/>
                <w:szCs w:val="22"/>
              </w:rPr>
            </w:pPr>
            <w:r w:rsidRPr="00AA0546">
              <w:rPr>
                <w:rFonts w:asciiTheme="minorHAnsi" w:hAnsiTheme="minorHAnsi" w:cstheme="minorHAnsi"/>
                <w:color w:val="000000"/>
                <w:sz w:val="22"/>
                <w:szCs w:val="22"/>
              </w:rPr>
              <w:t>42.5</w:t>
            </w:r>
          </w:p>
        </w:tc>
        <w:tc>
          <w:tcPr>
            <w:tcW w:w="1341" w:type="dxa"/>
            <w:shd w:val="clear" w:color="FFFFFF" w:fill="FFFFFF"/>
            <w:noWrap/>
            <w:vAlign w:val="bottom"/>
            <w:hideMark/>
          </w:tcPr>
          <w:p w14:paraId="4B6C4829" w14:textId="77777777" w:rsidR="001C5547" w:rsidRPr="00AA0546" w:rsidRDefault="001C5547" w:rsidP="00F8518C">
            <w:pPr>
              <w:jc w:val="right"/>
              <w:rPr>
                <w:rFonts w:asciiTheme="minorHAnsi" w:hAnsiTheme="minorHAnsi" w:cstheme="minorHAnsi"/>
                <w:color w:val="000000"/>
                <w:sz w:val="22"/>
                <w:szCs w:val="22"/>
              </w:rPr>
            </w:pPr>
            <w:r w:rsidRPr="00AA0546">
              <w:rPr>
                <w:rFonts w:asciiTheme="minorHAnsi" w:hAnsiTheme="minorHAnsi" w:cstheme="minorHAnsi"/>
                <w:color w:val="000000"/>
                <w:sz w:val="22"/>
                <w:szCs w:val="22"/>
              </w:rPr>
              <w:t>43.1</w:t>
            </w:r>
          </w:p>
        </w:tc>
      </w:tr>
      <w:tr w:rsidR="001C5547" w14:paraId="354CBB76" w14:textId="77777777" w:rsidTr="001C5547">
        <w:trPr>
          <w:trHeight w:val="20"/>
        </w:trPr>
        <w:tc>
          <w:tcPr>
            <w:tcW w:w="10256" w:type="dxa"/>
            <w:gridSpan w:val="6"/>
            <w:shd w:val="clear" w:color="FFFFFF" w:fill="FFFFFF"/>
            <w:noWrap/>
            <w:vAlign w:val="bottom"/>
          </w:tcPr>
          <w:p w14:paraId="25E3F578" w14:textId="77777777" w:rsidR="001C5547" w:rsidRPr="006B1B73" w:rsidRDefault="001C5547" w:rsidP="00F8518C">
            <w:pPr>
              <w:rPr>
                <w:rFonts w:asciiTheme="minorHAnsi" w:hAnsiTheme="minorHAnsi" w:cstheme="minorHAnsi"/>
                <w:color w:val="000000"/>
                <w:sz w:val="20"/>
                <w:szCs w:val="20"/>
              </w:rPr>
            </w:pPr>
            <w:r>
              <w:rPr>
                <w:rFonts w:asciiTheme="minorHAnsi" w:hAnsiTheme="minorHAnsi" w:cstheme="minorHAnsi"/>
                <w:color w:val="000000"/>
                <w:sz w:val="20"/>
                <w:szCs w:val="20"/>
              </w:rPr>
              <w:t xml:space="preserve">Source:  CRTC, Conventional Television:  Statistical and Financial summaries for private conventional television, 2015 – 2019 </w:t>
            </w:r>
          </w:p>
        </w:tc>
      </w:tr>
    </w:tbl>
    <w:p w14:paraId="302B2EF2" w14:textId="2EE7A40D" w:rsidR="005B7278" w:rsidRDefault="005B7278" w:rsidP="008B5690">
      <w:pPr>
        <w:pStyle w:val="FRPCintPara"/>
        <w:numPr>
          <w:ilvl w:val="0"/>
          <w:numId w:val="0"/>
        </w:numPr>
        <w:ind w:left="720" w:hanging="720"/>
        <w:sectPr w:rsidR="005B7278" w:rsidSect="00736696">
          <w:pgSz w:w="12240" w:h="15840"/>
          <w:pgMar w:top="1440" w:right="1440" w:bottom="1440" w:left="1440" w:header="708" w:footer="708" w:gutter="0"/>
          <w:cols w:space="708"/>
          <w:docGrid w:linePitch="360"/>
        </w:sectPr>
      </w:pPr>
    </w:p>
    <w:p w14:paraId="41D4CC3A" w14:textId="6B7E64AF" w:rsidR="001C5547" w:rsidRDefault="00BD4D02" w:rsidP="00BD4D02">
      <w:pPr>
        <w:pStyle w:val="Caption"/>
      </w:pPr>
      <w:bookmarkStart w:id="73" w:name="_Ref54005252"/>
      <w:bookmarkStart w:id="74" w:name="_Toc54006649"/>
      <w:bookmarkStart w:id="75" w:name="_Toc54021152"/>
      <w:r>
        <w:lastRenderedPageBreak/>
        <w:t xml:space="preserve">Appendix </w:t>
      </w:r>
      <w:fldSimple w:instr=" SEQ Appendix \* ARABIC ">
        <w:r w:rsidR="00A74C32">
          <w:rPr>
            <w:noProof/>
          </w:rPr>
          <w:t>10</w:t>
        </w:r>
      </w:fldSimple>
      <w:bookmarkEnd w:id="73"/>
      <w:r>
        <w:tab/>
        <w:t>Tables and figures in the CRTC’s Communications Monitoring Reports, 2008-2019</w:t>
      </w:r>
      <w:bookmarkEnd w:id="74"/>
      <w:bookmarkEnd w:id="75"/>
    </w:p>
    <w:tbl>
      <w:tblPr>
        <w:tblW w:w="13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770"/>
        <w:gridCol w:w="663"/>
        <w:gridCol w:w="663"/>
        <w:gridCol w:w="663"/>
        <w:gridCol w:w="663"/>
        <w:gridCol w:w="663"/>
        <w:gridCol w:w="663"/>
        <w:gridCol w:w="663"/>
        <w:gridCol w:w="663"/>
        <w:gridCol w:w="663"/>
        <w:gridCol w:w="663"/>
        <w:gridCol w:w="663"/>
        <w:gridCol w:w="1180"/>
      </w:tblGrid>
      <w:tr w:rsidR="00BD4D02" w:rsidRPr="00BD4D02" w14:paraId="20080DFF" w14:textId="77777777" w:rsidTr="00050580">
        <w:trPr>
          <w:trHeight w:val="144"/>
          <w:tblHeader/>
        </w:trPr>
        <w:tc>
          <w:tcPr>
            <w:tcW w:w="4500" w:type="dxa"/>
            <w:shd w:val="clear" w:color="D9E1F2" w:fill="D9E1F2"/>
            <w:noWrap/>
            <w:vAlign w:val="bottom"/>
            <w:hideMark/>
          </w:tcPr>
          <w:p w14:paraId="2049143B" w14:textId="77777777" w:rsidR="00BD4D02" w:rsidRDefault="00BD4D02" w:rsidP="00BD4D02">
            <w:pPr>
              <w:rPr>
                <w:rFonts w:ascii="Calibri" w:hAnsi="Calibri" w:cs="Calibri"/>
                <w:b/>
                <w:bCs/>
                <w:color w:val="000000"/>
                <w:sz w:val="20"/>
                <w:szCs w:val="20"/>
              </w:rPr>
            </w:pPr>
            <w:r w:rsidRPr="00BD4D02">
              <w:rPr>
                <w:rFonts w:ascii="Calibri" w:hAnsi="Calibri" w:cs="Calibri"/>
                <w:b/>
                <w:bCs/>
                <w:color w:val="000000"/>
                <w:sz w:val="20"/>
                <w:szCs w:val="20"/>
              </w:rPr>
              <w:t>CRTC Monitoring Reports, 2008-2019</w:t>
            </w:r>
          </w:p>
          <w:p w14:paraId="093A721F" w14:textId="77777777" w:rsidR="00BD4D02" w:rsidRDefault="00BD4D02" w:rsidP="00BD4D02">
            <w:pPr>
              <w:rPr>
                <w:rFonts w:ascii="Calibri" w:hAnsi="Calibri" w:cs="Calibri"/>
                <w:b/>
                <w:bCs/>
                <w:color w:val="000000"/>
                <w:sz w:val="20"/>
                <w:szCs w:val="20"/>
              </w:rPr>
            </w:pPr>
            <w:r>
              <w:rPr>
                <w:rFonts w:ascii="Calibri" w:hAnsi="Calibri" w:cs="Calibri"/>
                <w:b/>
                <w:bCs/>
                <w:color w:val="000000"/>
                <w:sz w:val="20"/>
                <w:szCs w:val="20"/>
              </w:rPr>
              <w:t>Sector</w:t>
            </w:r>
          </w:p>
          <w:p w14:paraId="078F9446" w14:textId="77777777" w:rsidR="00BD4D02" w:rsidRDefault="00BD4D02" w:rsidP="00BD4D02">
            <w:pPr>
              <w:rPr>
                <w:rFonts w:ascii="Calibri" w:hAnsi="Calibri" w:cs="Calibri"/>
                <w:b/>
                <w:bCs/>
                <w:color w:val="000000"/>
                <w:sz w:val="20"/>
                <w:szCs w:val="20"/>
              </w:rPr>
            </w:pPr>
            <w:r>
              <w:rPr>
                <w:rFonts w:ascii="Calibri" w:hAnsi="Calibri" w:cs="Calibri"/>
                <w:b/>
                <w:bCs/>
                <w:color w:val="000000"/>
                <w:sz w:val="20"/>
                <w:szCs w:val="20"/>
              </w:rPr>
              <w:t xml:space="preserve">  CRTC concept</w:t>
            </w:r>
          </w:p>
          <w:p w14:paraId="30A7A2D7" w14:textId="200A6E57" w:rsidR="00BD4D02" w:rsidRPr="00BD4D02" w:rsidRDefault="00BD4D02" w:rsidP="00BD4D02">
            <w:pPr>
              <w:rPr>
                <w:rFonts w:ascii="Calibri" w:hAnsi="Calibri" w:cs="Calibri"/>
                <w:color w:val="000000"/>
                <w:sz w:val="20"/>
                <w:szCs w:val="20"/>
              </w:rPr>
            </w:pPr>
            <w:r>
              <w:rPr>
                <w:rFonts w:ascii="Calibri" w:hAnsi="Calibri" w:cs="Calibri"/>
                <w:b/>
                <w:bCs/>
                <w:color w:val="000000"/>
                <w:sz w:val="20"/>
                <w:szCs w:val="20"/>
              </w:rPr>
              <w:t xml:space="preserve">    </w:t>
            </w:r>
            <w:r w:rsidRPr="00BD4D02">
              <w:rPr>
                <w:rFonts w:ascii="Calibri" w:hAnsi="Calibri" w:cs="Calibri"/>
                <w:color w:val="000000"/>
                <w:sz w:val="20"/>
                <w:szCs w:val="20"/>
              </w:rPr>
              <w:t>Measure</w:t>
            </w:r>
          </w:p>
        </w:tc>
        <w:tc>
          <w:tcPr>
            <w:tcW w:w="770" w:type="dxa"/>
            <w:shd w:val="clear" w:color="D9E1F2" w:fill="D9E1F2"/>
            <w:noWrap/>
            <w:vAlign w:val="bottom"/>
            <w:hideMark/>
          </w:tcPr>
          <w:p w14:paraId="2A1EDD8F"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2008</w:t>
            </w:r>
          </w:p>
        </w:tc>
        <w:tc>
          <w:tcPr>
            <w:tcW w:w="663" w:type="dxa"/>
            <w:shd w:val="clear" w:color="D9E1F2" w:fill="D9E1F2"/>
            <w:noWrap/>
            <w:vAlign w:val="bottom"/>
            <w:hideMark/>
          </w:tcPr>
          <w:p w14:paraId="7D268D6A"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2009</w:t>
            </w:r>
          </w:p>
        </w:tc>
        <w:tc>
          <w:tcPr>
            <w:tcW w:w="663" w:type="dxa"/>
            <w:shd w:val="clear" w:color="D9E1F2" w:fill="D9E1F2"/>
            <w:noWrap/>
            <w:vAlign w:val="bottom"/>
            <w:hideMark/>
          </w:tcPr>
          <w:p w14:paraId="4B0C0CE0"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2010</w:t>
            </w:r>
          </w:p>
        </w:tc>
        <w:tc>
          <w:tcPr>
            <w:tcW w:w="663" w:type="dxa"/>
            <w:shd w:val="clear" w:color="D9E1F2" w:fill="D9E1F2"/>
            <w:noWrap/>
            <w:vAlign w:val="bottom"/>
            <w:hideMark/>
          </w:tcPr>
          <w:p w14:paraId="2856C079"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2011</w:t>
            </w:r>
          </w:p>
        </w:tc>
        <w:tc>
          <w:tcPr>
            <w:tcW w:w="663" w:type="dxa"/>
            <w:shd w:val="clear" w:color="D9E1F2" w:fill="D9E1F2"/>
            <w:noWrap/>
            <w:vAlign w:val="bottom"/>
            <w:hideMark/>
          </w:tcPr>
          <w:p w14:paraId="2322A64B"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2012</w:t>
            </w:r>
          </w:p>
        </w:tc>
        <w:tc>
          <w:tcPr>
            <w:tcW w:w="663" w:type="dxa"/>
            <w:shd w:val="clear" w:color="D9E1F2" w:fill="D9E1F2"/>
            <w:noWrap/>
            <w:vAlign w:val="bottom"/>
            <w:hideMark/>
          </w:tcPr>
          <w:p w14:paraId="035257E7"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2013</w:t>
            </w:r>
          </w:p>
        </w:tc>
        <w:tc>
          <w:tcPr>
            <w:tcW w:w="663" w:type="dxa"/>
            <w:shd w:val="clear" w:color="D9E1F2" w:fill="D9E1F2"/>
            <w:noWrap/>
            <w:vAlign w:val="bottom"/>
            <w:hideMark/>
          </w:tcPr>
          <w:p w14:paraId="0902E56E"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2014</w:t>
            </w:r>
          </w:p>
        </w:tc>
        <w:tc>
          <w:tcPr>
            <w:tcW w:w="663" w:type="dxa"/>
            <w:shd w:val="clear" w:color="D9E1F2" w:fill="D9E1F2"/>
            <w:noWrap/>
            <w:vAlign w:val="bottom"/>
            <w:hideMark/>
          </w:tcPr>
          <w:p w14:paraId="4F285C64"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2015</w:t>
            </w:r>
          </w:p>
        </w:tc>
        <w:tc>
          <w:tcPr>
            <w:tcW w:w="663" w:type="dxa"/>
            <w:shd w:val="clear" w:color="D9E1F2" w:fill="D9E1F2"/>
            <w:noWrap/>
            <w:vAlign w:val="bottom"/>
            <w:hideMark/>
          </w:tcPr>
          <w:p w14:paraId="5A6D5856"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2016</w:t>
            </w:r>
          </w:p>
        </w:tc>
        <w:tc>
          <w:tcPr>
            <w:tcW w:w="663" w:type="dxa"/>
            <w:shd w:val="clear" w:color="D9E1F2" w:fill="D9E1F2"/>
            <w:noWrap/>
            <w:vAlign w:val="bottom"/>
            <w:hideMark/>
          </w:tcPr>
          <w:p w14:paraId="2FE2BB00"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2017</w:t>
            </w:r>
          </w:p>
        </w:tc>
        <w:tc>
          <w:tcPr>
            <w:tcW w:w="663" w:type="dxa"/>
            <w:shd w:val="clear" w:color="D9E1F2" w:fill="D9E1F2"/>
            <w:noWrap/>
            <w:vAlign w:val="bottom"/>
            <w:hideMark/>
          </w:tcPr>
          <w:p w14:paraId="282CCE16"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2018</w:t>
            </w:r>
          </w:p>
        </w:tc>
        <w:tc>
          <w:tcPr>
            <w:tcW w:w="663" w:type="dxa"/>
            <w:shd w:val="clear" w:color="D9E1F2" w:fill="D9E1F2"/>
            <w:noWrap/>
            <w:vAlign w:val="bottom"/>
            <w:hideMark/>
          </w:tcPr>
          <w:p w14:paraId="59EAE8B9"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2019</w:t>
            </w:r>
          </w:p>
        </w:tc>
        <w:tc>
          <w:tcPr>
            <w:tcW w:w="1180" w:type="dxa"/>
            <w:shd w:val="clear" w:color="D9E1F2" w:fill="D9E1F2"/>
            <w:noWrap/>
            <w:vAlign w:val="bottom"/>
            <w:hideMark/>
          </w:tcPr>
          <w:p w14:paraId="23EEED08" w14:textId="7BC997D0" w:rsidR="00BD4D02" w:rsidRPr="00BD4D02" w:rsidRDefault="00BD4D02" w:rsidP="00BD4D02">
            <w:pPr>
              <w:rPr>
                <w:rFonts w:ascii="Calibri" w:hAnsi="Calibri" w:cs="Calibri"/>
                <w:b/>
                <w:bCs/>
                <w:color w:val="000000"/>
                <w:sz w:val="20"/>
                <w:szCs w:val="20"/>
              </w:rPr>
            </w:pPr>
            <w:r w:rsidRPr="00BD4D02">
              <w:rPr>
                <w:rFonts w:ascii="Calibri" w:hAnsi="Calibri" w:cs="Calibri"/>
                <w:b/>
                <w:bCs/>
                <w:color w:val="000000"/>
                <w:sz w:val="20"/>
                <w:szCs w:val="20"/>
              </w:rPr>
              <w:t>Total</w:t>
            </w:r>
          </w:p>
        </w:tc>
      </w:tr>
      <w:tr w:rsidR="00BD4D02" w:rsidRPr="00BD4D02" w14:paraId="2E112E65" w14:textId="77777777" w:rsidTr="00050580">
        <w:trPr>
          <w:trHeight w:val="144"/>
        </w:trPr>
        <w:tc>
          <w:tcPr>
            <w:tcW w:w="4500" w:type="dxa"/>
            <w:shd w:val="clear" w:color="auto" w:fill="auto"/>
            <w:noWrap/>
            <w:vAlign w:val="bottom"/>
            <w:hideMark/>
          </w:tcPr>
          <w:p w14:paraId="700DAB0D" w14:textId="77777777" w:rsidR="00BD4D02" w:rsidRPr="00BD4D02" w:rsidRDefault="00BD4D02" w:rsidP="00BD4D02">
            <w:pPr>
              <w:rPr>
                <w:rFonts w:ascii="Calibri" w:hAnsi="Calibri" w:cs="Calibri"/>
                <w:b/>
                <w:bCs/>
                <w:color w:val="000000"/>
                <w:sz w:val="20"/>
                <w:szCs w:val="20"/>
              </w:rPr>
            </w:pPr>
            <w:r w:rsidRPr="00BD4D02">
              <w:rPr>
                <w:rFonts w:ascii="Calibri" w:hAnsi="Calibri" w:cs="Calibri"/>
                <w:b/>
                <w:bCs/>
                <w:color w:val="000000"/>
                <w:sz w:val="20"/>
                <w:szCs w:val="20"/>
              </w:rPr>
              <w:t>Households</w:t>
            </w:r>
          </w:p>
        </w:tc>
        <w:tc>
          <w:tcPr>
            <w:tcW w:w="770" w:type="dxa"/>
            <w:shd w:val="clear" w:color="auto" w:fill="auto"/>
            <w:noWrap/>
            <w:vAlign w:val="bottom"/>
            <w:hideMark/>
          </w:tcPr>
          <w:p w14:paraId="5768137F" w14:textId="77777777" w:rsidR="00BD4D02" w:rsidRPr="00BD4D02" w:rsidRDefault="00BD4D02" w:rsidP="00BD4D02">
            <w:pPr>
              <w:rPr>
                <w:rFonts w:ascii="Calibri" w:hAnsi="Calibri" w:cs="Calibri"/>
                <w:b/>
                <w:bCs/>
                <w:color w:val="000000"/>
                <w:sz w:val="20"/>
                <w:szCs w:val="20"/>
              </w:rPr>
            </w:pPr>
          </w:p>
        </w:tc>
        <w:tc>
          <w:tcPr>
            <w:tcW w:w="663" w:type="dxa"/>
            <w:shd w:val="clear" w:color="auto" w:fill="auto"/>
            <w:noWrap/>
            <w:vAlign w:val="bottom"/>
            <w:hideMark/>
          </w:tcPr>
          <w:p w14:paraId="4EC0E00E" w14:textId="77777777" w:rsidR="00BD4D02" w:rsidRPr="00BD4D02" w:rsidRDefault="00BD4D02" w:rsidP="00BD4D02">
            <w:pPr>
              <w:rPr>
                <w:sz w:val="20"/>
                <w:szCs w:val="20"/>
              </w:rPr>
            </w:pPr>
          </w:p>
        </w:tc>
        <w:tc>
          <w:tcPr>
            <w:tcW w:w="663" w:type="dxa"/>
            <w:shd w:val="clear" w:color="auto" w:fill="auto"/>
            <w:noWrap/>
            <w:vAlign w:val="bottom"/>
            <w:hideMark/>
          </w:tcPr>
          <w:p w14:paraId="586048A9" w14:textId="77777777" w:rsidR="00BD4D02" w:rsidRPr="00BD4D02" w:rsidRDefault="00BD4D02" w:rsidP="00BD4D02">
            <w:pPr>
              <w:rPr>
                <w:sz w:val="20"/>
                <w:szCs w:val="20"/>
              </w:rPr>
            </w:pPr>
          </w:p>
        </w:tc>
        <w:tc>
          <w:tcPr>
            <w:tcW w:w="663" w:type="dxa"/>
            <w:shd w:val="clear" w:color="auto" w:fill="auto"/>
            <w:noWrap/>
            <w:vAlign w:val="bottom"/>
            <w:hideMark/>
          </w:tcPr>
          <w:p w14:paraId="00D0517E" w14:textId="77777777" w:rsidR="00BD4D02" w:rsidRPr="00BD4D02" w:rsidRDefault="00BD4D02" w:rsidP="00BD4D02">
            <w:pPr>
              <w:rPr>
                <w:sz w:val="20"/>
                <w:szCs w:val="20"/>
              </w:rPr>
            </w:pPr>
          </w:p>
        </w:tc>
        <w:tc>
          <w:tcPr>
            <w:tcW w:w="663" w:type="dxa"/>
            <w:shd w:val="clear" w:color="auto" w:fill="auto"/>
            <w:noWrap/>
            <w:vAlign w:val="bottom"/>
            <w:hideMark/>
          </w:tcPr>
          <w:p w14:paraId="52D2F6EF" w14:textId="77777777" w:rsidR="00BD4D02" w:rsidRPr="00BD4D02" w:rsidRDefault="00BD4D02" w:rsidP="00BD4D02">
            <w:pPr>
              <w:rPr>
                <w:sz w:val="20"/>
                <w:szCs w:val="20"/>
              </w:rPr>
            </w:pPr>
          </w:p>
        </w:tc>
        <w:tc>
          <w:tcPr>
            <w:tcW w:w="663" w:type="dxa"/>
            <w:shd w:val="clear" w:color="auto" w:fill="auto"/>
            <w:noWrap/>
            <w:vAlign w:val="bottom"/>
            <w:hideMark/>
          </w:tcPr>
          <w:p w14:paraId="02581675" w14:textId="77777777" w:rsidR="00BD4D02" w:rsidRPr="00BD4D02" w:rsidRDefault="00BD4D02" w:rsidP="00BD4D02">
            <w:pPr>
              <w:rPr>
                <w:sz w:val="20"/>
                <w:szCs w:val="20"/>
              </w:rPr>
            </w:pPr>
          </w:p>
        </w:tc>
        <w:tc>
          <w:tcPr>
            <w:tcW w:w="663" w:type="dxa"/>
            <w:shd w:val="clear" w:color="auto" w:fill="auto"/>
            <w:noWrap/>
            <w:vAlign w:val="bottom"/>
            <w:hideMark/>
          </w:tcPr>
          <w:p w14:paraId="0862271A"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w:t>
            </w:r>
          </w:p>
        </w:tc>
        <w:tc>
          <w:tcPr>
            <w:tcW w:w="663" w:type="dxa"/>
            <w:shd w:val="clear" w:color="auto" w:fill="auto"/>
            <w:noWrap/>
            <w:vAlign w:val="bottom"/>
            <w:hideMark/>
          </w:tcPr>
          <w:p w14:paraId="3882C473"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2</w:t>
            </w:r>
          </w:p>
        </w:tc>
        <w:tc>
          <w:tcPr>
            <w:tcW w:w="663" w:type="dxa"/>
            <w:shd w:val="clear" w:color="auto" w:fill="auto"/>
            <w:noWrap/>
            <w:vAlign w:val="bottom"/>
            <w:hideMark/>
          </w:tcPr>
          <w:p w14:paraId="0BB73C80"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2</w:t>
            </w:r>
          </w:p>
        </w:tc>
        <w:tc>
          <w:tcPr>
            <w:tcW w:w="663" w:type="dxa"/>
            <w:shd w:val="clear" w:color="auto" w:fill="auto"/>
            <w:noWrap/>
            <w:vAlign w:val="bottom"/>
            <w:hideMark/>
          </w:tcPr>
          <w:p w14:paraId="0F989EB2"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2</w:t>
            </w:r>
          </w:p>
        </w:tc>
        <w:tc>
          <w:tcPr>
            <w:tcW w:w="663" w:type="dxa"/>
            <w:shd w:val="clear" w:color="auto" w:fill="auto"/>
            <w:noWrap/>
            <w:vAlign w:val="bottom"/>
            <w:hideMark/>
          </w:tcPr>
          <w:p w14:paraId="6D0CBBDF"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2</w:t>
            </w:r>
          </w:p>
        </w:tc>
        <w:tc>
          <w:tcPr>
            <w:tcW w:w="663" w:type="dxa"/>
            <w:shd w:val="clear" w:color="auto" w:fill="auto"/>
            <w:noWrap/>
            <w:vAlign w:val="bottom"/>
            <w:hideMark/>
          </w:tcPr>
          <w:p w14:paraId="1C905678"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4</w:t>
            </w:r>
          </w:p>
        </w:tc>
        <w:tc>
          <w:tcPr>
            <w:tcW w:w="1180" w:type="dxa"/>
            <w:shd w:val="clear" w:color="auto" w:fill="auto"/>
            <w:noWrap/>
            <w:vAlign w:val="bottom"/>
            <w:hideMark/>
          </w:tcPr>
          <w:p w14:paraId="68520831"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13</w:t>
            </w:r>
          </w:p>
        </w:tc>
      </w:tr>
      <w:tr w:rsidR="00BD4D02" w:rsidRPr="00BD4D02" w14:paraId="2596CDB6" w14:textId="77777777" w:rsidTr="00050580">
        <w:trPr>
          <w:trHeight w:val="144"/>
        </w:trPr>
        <w:tc>
          <w:tcPr>
            <w:tcW w:w="4500" w:type="dxa"/>
            <w:shd w:val="clear" w:color="auto" w:fill="auto"/>
            <w:noWrap/>
            <w:vAlign w:val="bottom"/>
            <w:hideMark/>
          </w:tcPr>
          <w:p w14:paraId="642DB66D" w14:textId="77777777" w:rsidR="00BD4D02" w:rsidRPr="00BD4D02" w:rsidRDefault="00BD4D02" w:rsidP="00BD4D02">
            <w:pPr>
              <w:ind w:firstLineChars="100" w:firstLine="201"/>
              <w:rPr>
                <w:rFonts w:ascii="Calibri" w:hAnsi="Calibri" w:cs="Calibri"/>
                <w:b/>
                <w:bCs/>
                <w:color w:val="000000"/>
                <w:sz w:val="20"/>
                <w:szCs w:val="20"/>
              </w:rPr>
            </w:pPr>
            <w:r w:rsidRPr="00BD4D02">
              <w:rPr>
                <w:rFonts w:ascii="Calibri" w:hAnsi="Calibri" w:cs="Calibri"/>
                <w:b/>
                <w:bCs/>
                <w:color w:val="000000"/>
                <w:sz w:val="20"/>
                <w:szCs w:val="20"/>
              </w:rPr>
              <w:t>Demography</w:t>
            </w:r>
          </w:p>
        </w:tc>
        <w:tc>
          <w:tcPr>
            <w:tcW w:w="770" w:type="dxa"/>
            <w:shd w:val="clear" w:color="auto" w:fill="auto"/>
            <w:noWrap/>
            <w:vAlign w:val="bottom"/>
            <w:hideMark/>
          </w:tcPr>
          <w:p w14:paraId="48BC565A" w14:textId="77777777" w:rsidR="00BD4D02" w:rsidRPr="00BD4D02" w:rsidRDefault="00BD4D02" w:rsidP="00BD4D02">
            <w:pPr>
              <w:ind w:firstLineChars="100" w:firstLine="201"/>
              <w:rPr>
                <w:rFonts w:ascii="Calibri" w:hAnsi="Calibri" w:cs="Calibri"/>
                <w:b/>
                <w:bCs/>
                <w:color w:val="000000"/>
                <w:sz w:val="20"/>
                <w:szCs w:val="20"/>
              </w:rPr>
            </w:pPr>
          </w:p>
        </w:tc>
        <w:tc>
          <w:tcPr>
            <w:tcW w:w="663" w:type="dxa"/>
            <w:shd w:val="clear" w:color="auto" w:fill="auto"/>
            <w:noWrap/>
            <w:vAlign w:val="bottom"/>
            <w:hideMark/>
          </w:tcPr>
          <w:p w14:paraId="7C49A3F7" w14:textId="77777777" w:rsidR="00BD4D02" w:rsidRPr="00BD4D02" w:rsidRDefault="00BD4D02" w:rsidP="00BD4D02">
            <w:pPr>
              <w:rPr>
                <w:sz w:val="20"/>
                <w:szCs w:val="20"/>
              </w:rPr>
            </w:pPr>
          </w:p>
        </w:tc>
        <w:tc>
          <w:tcPr>
            <w:tcW w:w="663" w:type="dxa"/>
            <w:shd w:val="clear" w:color="auto" w:fill="auto"/>
            <w:noWrap/>
            <w:vAlign w:val="bottom"/>
            <w:hideMark/>
          </w:tcPr>
          <w:p w14:paraId="302442CD" w14:textId="77777777" w:rsidR="00BD4D02" w:rsidRPr="00BD4D02" w:rsidRDefault="00BD4D02" w:rsidP="00BD4D02">
            <w:pPr>
              <w:rPr>
                <w:sz w:val="20"/>
                <w:szCs w:val="20"/>
              </w:rPr>
            </w:pPr>
          </w:p>
        </w:tc>
        <w:tc>
          <w:tcPr>
            <w:tcW w:w="663" w:type="dxa"/>
            <w:shd w:val="clear" w:color="auto" w:fill="auto"/>
            <w:noWrap/>
            <w:vAlign w:val="bottom"/>
            <w:hideMark/>
          </w:tcPr>
          <w:p w14:paraId="7A2386EA" w14:textId="77777777" w:rsidR="00BD4D02" w:rsidRPr="00BD4D02" w:rsidRDefault="00BD4D02" w:rsidP="00BD4D02">
            <w:pPr>
              <w:rPr>
                <w:sz w:val="20"/>
                <w:szCs w:val="20"/>
              </w:rPr>
            </w:pPr>
          </w:p>
        </w:tc>
        <w:tc>
          <w:tcPr>
            <w:tcW w:w="663" w:type="dxa"/>
            <w:shd w:val="clear" w:color="auto" w:fill="auto"/>
            <w:noWrap/>
            <w:vAlign w:val="bottom"/>
            <w:hideMark/>
          </w:tcPr>
          <w:p w14:paraId="3FFBB40C" w14:textId="77777777" w:rsidR="00BD4D02" w:rsidRPr="00BD4D02" w:rsidRDefault="00BD4D02" w:rsidP="00BD4D02">
            <w:pPr>
              <w:rPr>
                <w:sz w:val="20"/>
                <w:szCs w:val="20"/>
              </w:rPr>
            </w:pPr>
          </w:p>
        </w:tc>
        <w:tc>
          <w:tcPr>
            <w:tcW w:w="663" w:type="dxa"/>
            <w:shd w:val="clear" w:color="auto" w:fill="auto"/>
            <w:noWrap/>
            <w:vAlign w:val="bottom"/>
            <w:hideMark/>
          </w:tcPr>
          <w:p w14:paraId="3636FFB6" w14:textId="77777777" w:rsidR="00BD4D02" w:rsidRPr="00BD4D02" w:rsidRDefault="00BD4D02" w:rsidP="00BD4D02">
            <w:pPr>
              <w:rPr>
                <w:sz w:val="20"/>
                <w:szCs w:val="20"/>
              </w:rPr>
            </w:pPr>
          </w:p>
        </w:tc>
        <w:tc>
          <w:tcPr>
            <w:tcW w:w="663" w:type="dxa"/>
            <w:shd w:val="clear" w:color="auto" w:fill="auto"/>
            <w:noWrap/>
            <w:vAlign w:val="bottom"/>
            <w:hideMark/>
          </w:tcPr>
          <w:p w14:paraId="76FCAA4D"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w:t>
            </w:r>
          </w:p>
        </w:tc>
        <w:tc>
          <w:tcPr>
            <w:tcW w:w="663" w:type="dxa"/>
            <w:shd w:val="clear" w:color="auto" w:fill="auto"/>
            <w:noWrap/>
            <w:vAlign w:val="bottom"/>
            <w:hideMark/>
          </w:tcPr>
          <w:p w14:paraId="561E4D39"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2</w:t>
            </w:r>
          </w:p>
        </w:tc>
        <w:tc>
          <w:tcPr>
            <w:tcW w:w="663" w:type="dxa"/>
            <w:shd w:val="clear" w:color="auto" w:fill="auto"/>
            <w:noWrap/>
            <w:vAlign w:val="bottom"/>
            <w:hideMark/>
          </w:tcPr>
          <w:p w14:paraId="63856A48"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2</w:t>
            </w:r>
          </w:p>
        </w:tc>
        <w:tc>
          <w:tcPr>
            <w:tcW w:w="663" w:type="dxa"/>
            <w:shd w:val="clear" w:color="auto" w:fill="auto"/>
            <w:noWrap/>
            <w:vAlign w:val="bottom"/>
            <w:hideMark/>
          </w:tcPr>
          <w:p w14:paraId="104B3F8D"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2</w:t>
            </w:r>
          </w:p>
        </w:tc>
        <w:tc>
          <w:tcPr>
            <w:tcW w:w="663" w:type="dxa"/>
            <w:shd w:val="clear" w:color="auto" w:fill="auto"/>
            <w:noWrap/>
            <w:vAlign w:val="bottom"/>
            <w:hideMark/>
          </w:tcPr>
          <w:p w14:paraId="31D1AD36"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2</w:t>
            </w:r>
          </w:p>
        </w:tc>
        <w:tc>
          <w:tcPr>
            <w:tcW w:w="663" w:type="dxa"/>
            <w:shd w:val="clear" w:color="auto" w:fill="auto"/>
            <w:noWrap/>
            <w:vAlign w:val="bottom"/>
            <w:hideMark/>
          </w:tcPr>
          <w:p w14:paraId="53EEB1CE"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4</w:t>
            </w:r>
          </w:p>
        </w:tc>
        <w:tc>
          <w:tcPr>
            <w:tcW w:w="1180" w:type="dxa"/>
            <w:shd w:val="clear" w:color="auto" w:fill="auto"/>
            <w:noWrap/>
            <w:vAlign w:val="bottom"/>
            <w:hideMark/>
          </w:tcPr>
          <w:p w14:paraId="072806BA"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13</w:t>
            </w:r>
          </w:p>
        </w:tc>
      </w:tr>
      <w:tr w:rsidR="00BD4D02" w:rsidRPr="00BD4D02" w14:paraId="74788B21" w14:textId="77777777" w:rsidTr="00050580">
        <w:trPr>
          <w:trHeight w:val="144"/>
        </w:trPr>
        <w:tc>
          <w:tcPr>
            <w:tcW w:w="4500" w:type="dxa"/>
            <w:shd w:val="clear" w:color="auto" w:fill="auto"/>
            <w:noWrap/>
            <w:vAlign w:val="bottom"/>
            <w:hideMark/>
          </w:tcPr>
          <w:p w14:paraId="255E852D"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First Nations</w:t>
            </w:r>
          </w:p>
        </w:tc>
        <w:tc>
          <w:tcPr>
            <w:tcW w:w="770" w:type="dxa"/>
            <w:shd w:val="clear" w:color="auto" w:fill="auto"/>
            <w:noWrap/>
            <w:vAlign w:val="bottom"/>
            <w:hideMark/>
          </w:tcPr>
          <w:p w14:paraId="3627E2D2"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3335531A" w14:textId="77777777" w:rsidR="00BD4D02" w:rsidRPr="00BD4D02" w:rsidRDefault="00BD4D02" w:rsidP="00BD4D02">
            <w:pPr>
              <w:rPr>
                <w:sz w:val="20"/>
                <w:szCs w:val="20"/>
              </w:rPr>
            </w:pPr>
          </w:p>
        </w:tc>
        <w:tc>
          <w:tcPr>
            <w:tcW w:w="663" w:type="dxa"/>
            <w:shd w:val="clear" w:color="auto" w:fill="auto"/>
            <w:noWrap/>
            <w:vAlign w:val="bottom"/>
            <w:hideMark/>
          </w:tcPr>
          <w:p w14:paraId="1FC1EADB" w14:textId="77777777" w:rsidR="00BD4D02" w:rsidRPr="00BD4D02" w:rsidRDefault="00BD4D02" w:rsidP="00BD4D02">
            <w:pPr>
              <w:rPr>
                <w:sz w:val="20"/>
                <w:szCs w:val="20"/>
              </w:rPr>
            </w:pPr>
          </w:p>
        </w:tc>
        <w:tc>
          <w:tcPr>
            <w:tcW w:w="663" w:type="dxa"/>
            <w:shd w:val="clear" w:color="auto" w:fill="auto"/>
            <w:noWrap/>
            <w:vAlign w:val="bottom"/>
            <w:hideMark/>
          </w:tcPr>
          <w:p w14:paraId="6D5BA84D" w14:textId="77777777" w:rsidR="00BD4D02" w:rsidRPr="00BD4D02" w:rsidRDefault="00BD4D02" w:rsidP="00BD4D02">
            <w:pPr>
              <w:rPr>
                <w:sz w:val="20"/>
                <w:szCs w:val="20"/>
              </w:rPr>
            </w:pPr>
          </w:p>
        </w:tc>
        <w:tc>
          <w:tcPr>
            <w:tcW w:w="663" w:type="dxa"/>
            <w:shd w:val="clear" w:color="auto" w:fill="auto"/>
            <w:noWrap/>
            <w:vAlign w:val="bottom"/>
            <w:hideMark/>
          </w:tcPr>
          <w:p w14:paraId="70547C85" w14:textId="77777777" w:rsidR="00BD4D02" w:rsidRPr="00BD4D02" w:rsidRDefault="00BD4D02" w:rsidP="00BD4D02">
            <w:pPr>
              <w:rPr>
                <w:sz w:val="20"/>
                <w:szCs w:val="20"/>
              </w:rPr>
            </w:pPr>
          </w:p>
        </w:tc>
        <w:tc>
          <w:tcPr>
            <w:tcW w:w="663" w:type="dxa"/>
            <w:shd w:val="clear" w:color="auto" w:fill="auto"/>
            <w:noWrap/>
            <w:vAlign w:val="bottom"/>
            <w:hideMark/>
          </w:tcPr>
          <w:p w14:paraId="7439DF8B" w14:textId="77777777" w:rsidR="00BD4D02" w:rsidRPr="00BD4D02" w:rsidRDefault="00BD4D02" w:rsidP="00BD4D02">
            <w:pPr>
              <w:rPr>
                <w:sz w:val="20"/>
                <w:szCs w:val="20"/>
              </w:rPr>
            </w:pPr>
          </w:p>
        </w:tc>
        <w:tc>
          <w:tcPr>
            <w:tcW w:w="663" w:type="dxa"/>
            <w:shd w:val="clear" w:color="auto" w:fill="auto"/>
            <w:noWrap/>
            <w:vAlign w:val="bottom"/>
            <w:hideMark/>
          </w:tcPr>
          <w:p w14:paraId="6B41C09E" w14:textId="77777777" w:rsidR="00BD4D02" w:rsidRPr="00BD4D02" w:rsidRDefault="00BD4D02" w:rsidP="00BD4D02">
            <w:pPr>
              <w:rPr>
                <w:sz w:val="20"/>
                <w:szCs w:val="20"/>
              </w:rPr>
            </w:pPr>
          </w:p>
        </w:tc>
        <w:tc>
          <w:tcPr>
            <w:tcW w:w="663" w:type="dxa"/>
            <w:shd w:val="clear" w:color="auto" w:fill="auto"/>
            <w:noWrap/>
            <w:vAlign w:val="bottom"/>
            <w:hideMark/>
          </w:tcPr>
          <w:p w14:paraId="5487679B" w14:textId="77777777" w:rsidR="00BD4D02" w:rsidRPr="00BD4D02" w:rsidRDefault="00BD4D02" w:rsidP="00BD4D02">
            <w:pPr>
              <w:rPr>
                <w:sz w:val="20"/>
                <w:szCs w:val="20"/>
              </w:rPr>
            </w:pPr>
          </w:p>
        </w:tc>
        <w:tc>
          <w:tcPr>
            <w:tcW w:w="663" w:type="dxa"/>
            <w:shd w:val="clear" w:color="auto" w:fill="auto"/>
            <w:noWrap/>
            <w:vAlign w:val="bottom"/>
            <w:hideMark/>
          </w:tcPr>
          <w:p w14:paraId="699E8909" w14:textId="77777777" w:rsidR="00BD4D02" w:rsidRPr="00BD4D02" w:rsidRDefault="00BD4D02" w:rsidP="00BD4D02">
            <w:pPr>
              <w:rPr>
                <w:sz w:val="20"/>
                <w:szCs w:val="20"/>
              </w:rPr>
            </w:pPr>
          </w:p>
        </w:tc>
        <w:tc>
          <w:tcPr>
            <w:tcW w:w="663" w:type="dxa"/>
            <w:shd w:val="clear" w:color="auto" w:fill="auto"/>
            <w:noWrap/>
            <w:vAlign w:val="bottom"/>
            <w:hideMark/>
          </w:tcPr>
          <w:p w14:paraId="01FC1569" w14:textId="77777777" w:rsidR="00BD4D02" w:rsidRPr="00BD4D02" w:rsidRDefault="00BD4D02" w:rsidP="00BD4D02">
            <w:pPr>
              <w:rPr>
                <w:sz w:val="20"/>
                <w:szCs w:val="20"/>
              </w:rPr>
            </w:pPr>
          </w:p>
        </w:tc>
        <w:tc>
          <w:tcPr>
            <w:tcW w:w="663" w:type="dxa"/>
            <w:shd w:val="clear" w:color="auto" w:fill="auto"/>
            <w:noWrap/>
            <w:vAlign w:val="bottom"/>
            <w:hideMark/>
          </w:tcPr>
          <w:p w14:paraId="3ECE0947" w14:textId="77777777" w:rsidR="00BD4D02" w:rsidRPr="00BD4D02" w:rsidRDefault="00BD4D02" w:rsidP="00BD4D02">
            <w:pPr>
              <w:rPr>
                <w:sz w:val="20"/>
                <w:szCs w:val="20"/>
              </w:rPr>
            </w:pPr>
          </w:p>
        </w:tc>
        <w:tc>
          <w:tcPr>
            <w:tcW w:w="663" w:type="dxa"/>
            <w:shd w:val="clear" w:color="auto" w:fill="auto"/>
            <w:noWrap/>
            <w:vAlign w:val="bottom"/>
            <w:hideMark/>
          </w:tcPr>
          <w:p w14:paraId="0146C21D"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1180" w:type="dxa"/>
            <w:shd w:val="clear" w:color="auto" w:fill="auto"/>
            <w:noWrap/>
            <w:vAlign w:val="bottom"/>
            <w:hideMark/>
          </w:tcPr>
          <w:p w14:paraId="12918A6F"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12AE2016" w14:textId="77777777" w:rsidTr="00050580">
        <w:trPr>
          <w:trHeight w:val="144"/>
        </w:trPr>
        <w:tc>
          <w:tcPr>
            <w:tcW w:w="4500" w:type="dxa"/>
            <w:shd w:val="clear" w:color="auto" w:fill="auto"/>
            <w:noWrap/>
            <w:vAlign w:val="bottom"/>
            <w:hideMark/>
          </w:tcPr>
          <w:p w14:paraId="4F7E6F48"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Official language minorities</w:t>
            </w:r>
          </w:p>
        </w:tc>
        <w:tc>
          <w:tcPr>
            <w:tcW w:w="770" w:type="dxa"/>
            <w:shd w:val="clear" w:color="auto" w:fill="auto"/>
            <w:noWrap/>
            <w:vAlign w:val="bottom"/>
            <w:hideMark/>
          </w:tcPr>
          <w:p w14:paraId="407FE9CF"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06397D13" w14:textId="77777777" w:rsidR="00BD4D02" w:rsidRPr="00BD4D02" w:rsidRDefault="00BD4D02" w:rsidP="00BD4D02">
            <w:pPr>
              <w:rPr>
                <w:sz w:val="20"/>
                <w:szCs w:val="20"/>
              </w:rPr>
            </w:pPr>
          </w:p>
        </w:tc>
        <w:tc>
          <w:tcPr>
            <w:tcW w:w="663" w:type="dxa"/>
            <w:shd w:val="clear" w:color="auto" w:fill="auto"/>
            <w:noWrap/>
            <w:vAlign w:val="bottom"/>
            <w:hideMark/>
          </w:tcPr>
          <w:p w14:paraId="667FF154" w14:textId="77777777" w:rsidR="00BD4D02" w:rsidRPr="00BD4D02" w:rsidRDefault="00BD4D02" w:rsidP="00BD4D02">
            <w:pPr>
              <w:rPr>
                <w:sz w:val="20"/>
                <w:szCs w:val="20"/>
              </w:rPr>
            </w:pPr>
          </w:p>
        </w:tc>
        <w:tc>
          <w:tcPr>
            <w:tcW w:w="663" w:type="dxa"/>
            <w:shd w:val="clear" w:color="auto" w:fill="auto"/>
            <w:noWrap/>
            <w:vAlign w:val="bottom"/>
            <w:hideMark/>
          </w:tcPr>
          <w:p w14:paraId="555A22E5" w14:textId="77777777" w:rsidR="00BD4D02" w:rsidRPr="00BD4D02" w:rsidRDefault="00BD4D02" w:rsidP="00BD4D02">
            <w:pPr>
              <w:rPr>
                <w:sz w:val="20"/>
                <w:szCs w:val="20"/>
              </w:rPr>
            </w:pPr>
          </w:p>
        </w:tc>
        <w:tc>
          <w:tcPr>
            <w:tcW w:w="663" w:type="dxa"/>
            <w:shd w:val="clear" w:color="auto" w:fill="auto"/>
            <w:noWrap/>
            <w:vAlign w:val="bottom"/>
            <w:hideMark/>
          </w:tcPr>
          <w:p w14:paraId="7DF97CEF" w14:textId="77777777" w:rsidR="00BD4D02" w:rsidRPr="00BD4D02" w:rsidRDefault="00BD4D02" w:rsidP="00BD4D02">
            <w:pPr>
              <w:rPr>
                <w:sz w:val="20"/>
                <w:szCs w:val="20"/>
              </w:rPr>
            </w:pPr>
          </w:p>
        </w:tc>
        <w:tc>
          <w:tcPr>
            <w:tcW w:w="663" w:type="dxa"/>
            <w:shd w:val="clear" w:color="auto" w:fill="auto"/>
            <w:noWrap/>
            <w:vAlign w:val="bottom"/>
            <w:hideMark/>
          </w:tcPr>
          <w:p w14:paraId="673AE38B" w14:textId="77777777" w:rsidR="00BD4D02" w:rsidRPr="00BD4D02" w:rsidRDefault="00BD4D02" w:rsidP="00BD4D02">
            <w:pPr>
              <w:rPr>
                <w:sz w:val="20"/>
                <w:szCs w:val="20"/>
              </w:rPr>
            </w:pPr>
          </w:p>
        </w:tc>
        <w:tc>
          <w:tcPr>
            <w:tcW w:w="663" w:type="dxa"/>
            <w:shd w:val="clear" w:color="auto" w:fill="auto"/>
            <w:noWrap/>
            <w:vAlign w:val="bottom"/>
            <w:hideMark/>
          </w:tcPr>
          <w:p w14:paraId="59383C1D"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5D66FE99"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53421A28"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29F263EC"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52F02415"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61A5212E"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1180" w:type="dxa"/>
            <w:shd w:val="clear" w:color="auto" w:fill="auto"/>
            <w:noWrap/>
            <w:vAlign w:val="bottom"/>
            <w:hideMark/>
          </w:tcPr>
          <w:p w14:paraId="16F6BC9A"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8</w:t>
            </w:r>
          </w:p>
        </w:tc>
      </w:tr>
      <w:tr w:rsidR="00BD4D02" w:rsidRPr="00BD4D02" w14:paraId="64DC55BC" w14:textId="77777777" w:rsidTr="00050580">
        <w:trPr>
          <w:trHeight w:val="144"/>
        </w:trPr>
        <w:tc>
          <w:tcPr>
            <w:tcW w:w="4500" w:type="dxa"/>
            <w:shd w:val="clear" w:color="auto" w:fill="auto"/>
            <w:noWrap/>
            <w:vAlign w:val="bottom"/>
            <w:hideMark/>
          </w:tcPr>
          <w:p w14:paraId="3D11B20D"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Rural</w:t>
            </w:r>
          </w:p>
        </w:tc>
        <w:tc>
          <w:tcPr>
            <w:tcW w:w="770" w:type="dxa"/>
            <w:shd w:val="clear" w:color="auto" w:fill="auto"/>
            <w:noWrap/>
            <w:vAlign w:val="bottom"/>
            <w:hideMark/>
          </w:tcPr>
          <w:p w14:paraId="6AE87031"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7224EEF9" w14:textId="77777777" w:rsidR="00BD4D02" w:rsidRPr="00BD4D02" w:rsidRDefault="00BD4D02" w:rsidP="00BD4D02">
            <w:pPr>
              <w:rPr>
                <w:sz w:val="20"/>
                <w:szCs w:val="20"/>
              </w:rPr>
            </w:pPr>
          </w:p>
        </w:tc>
        <w:tc>
          <w:tcPr>
            <w:tcW w:w="663" w:type="dxa"/>
            <w:shd w:val="clear" w:color="auto" w:fill="auto"/>
            <w:noWrap/>
            <w:vAlign w:val="bottom"/>
            <w:hideMark/>
          </w:tcPr>
          <w:p w14:paraId="0DF0CB4F" w14:textId="77777777" w:rsidR="00BD4D02" w:rsidRPr="00BD4D02" w:rsidRDefault="00BD4D02" w:rsidP="00BD4D02">
            <w:pPr>
              <w:rPr>
                <w:sz w:val="20"/>
                <w:szCs w:val="20"/>
              </w:rPr>
            </w:pPr>
          </w:p>
        </w:tc>
        <w:tc>
          <w:tcPr>
            <w:tcW w:w="663" w:type="dxa"/>
            <w:shd w:val="clear" w:color="auto" w:fill="auto"/>
            <w:noWrap/>
            <w:vAlign w:val="bottom"/>
            <w:hideMark/>
          </w:tcPr>
          <w:p w14:paraId="69B44B1F" w14:textId="77777777" w:rsidR="00BD4D02" w:rsidRPr="00BD4D02" w:rsidRDefault="00BD4D02" w:rsidP="00BD4D02">
            <w:pPr>
              <w:rPr>
                <w:sz w:val="20"/>
                <w:szCs w:val="20"/>
              </w:rPr>
            </w:pPr>
          </w:p>
        </w:tc>
        <w:tc>
          <w:tcPr>
            <w:tcW w:w="663" w:type="dxa"/>
            <w:shd w:val="clear" w:color="auto" w:fill="auto"/>
            <w:noWrap/>
            <w:vAlign w:val="bottom"/>
            <w:hideMark/>
          </w:tcPr>
          <w:p w14:paraId="44B2D1A8" w14:textId="77777777" w:rsidR="00BD4D02" w:rsidRPr="00BD4D02" w:rsidRDefault="00BD4D02" w:rsidP="00BD4D02">
            <w:pPr>
              <w:rPr>
                <w:sz w:val="20"/>
                <w:szCs w:val="20"/>
              </w:rPr>
            </w:pPr>
          </w:p>
        </w:tc>
        <w:tc>
          <w:tcPr>
            <w:tcW w:w="663" w:type="dxa"/>
            <w:shd w:val="clear" w:color="auto" w:fill="auto"/>
            <w:noWrap/>
            <w:vAlign w:val="bottom"/>
            <w:hideMark/>
          </w:tcPr>
          <w:p w14:paraId="1B21FB5E" w14:textId="77777777" w:rsidR="00BD4D02" w:rsidRPr="00BD4D02" w:rsidRDefault="00BD4D02" w:rsidP="00BD4D02">
            <w:pPr>
              <w:rPr>
                <w:sz w:val="20"/>
                <w:szCs w:val="20"/>
              </w:rPr>
            </w:pPr>
          </w:p>
        </w:tc>
        <w:tc>
          <w:tcPr>
            <w:tcW w:w="663" w:type="dxa"/>
            <w:shd w:val="clear" w:color="auto" w:fill="auto"/>
            <w:noWrap/>
            <w:vAlign w:val="bottom"/>
            <w:hideMark/>
          </w:tcPr>
          <w:p w14:paraId="01B4F6C1" w14:textId="77777777" w:rsidR="00BD4D02" w:rsidRPr="00BD4D02" w:rsidRDefault="00BD4D02" w:rsidP="00BD4D02">
            <w:pPr>
              <w:rPr>
                <w:sz w:val="20"/>
                <w:szCs w:val="20"/>
              </w:rPr>
            </w:pPr>
          </w:p>
        </w:tc>
        <w:tc>
          <w:tcPr>
            <w:tcW w:w="663" w:type="dxa"/>
            <w:shd w:val="clear" w:color="auto" w:fill="auto"/>
            <w:noWrap/>
            <w:vAlign w:val="bottom"/>
            <w:hideMark/>
          </w:tcPr>
          <w:p w14:paraId="166B0708" w14:textId="77777777" w:rsidR="00BD4D02" w:rsidRPr="00BD4D02" w:rsidRDefault="00BD4D02" w:rsidP="00BD4D02">
            <w:pPr>
              <w:rPr>
                <w:sz w:val="20"/>
                <w:szCs w:val="20"/>
              </w:rPr>
            </w:pPr>
          </w:p>
        </w:tc>
        <w:tc>
          <w:tcPr>
            <w:tcW w:w="663" w:type="dxa"/>
            <w:shd w:val="clear" w:color="auto" w:fill="auto"/>
            <w:noWrap/>
            <w:vAlign w:val="bottom"/>
            <w:hideMark/>
          </w:tcPr>
          <w:p w14:paraId="22F98B3D" w14:textId="77777777" w:rsidR="00BD4D02" w:rsidRPr="00BD4D02" w:rsidRDefault="00BD4D02" w:rsidP="00BD4D02">
            <w:pPr>
              <w:rPr>
                <w:sz w:val="20"/>
                <w:szCs w:val="20"/>
              </w:rPr>
            </w:pPr>
          </w:p>
        </w:tc>
        <w:tc>
          <w:tcPr>
            <w:tcW w:w="663" w:type="dxa"/>
            <w:shd w:val="clear" w:color="auto" w:fill="auto"/>
            <w:noWrap/>
            <w:vAlign w:val="bottom"/>
            <w:hideMark/>
          </w:tcPr>
          <w:p w14:paraId="5A5F58A8" w14:textId="77777777" w:rsidR="00BD4D02" w:rsidRPr="00BD4D02" w:rsidRDefault="00BD4D02" w:rsidP="00BD4D02">
            <w:pPr>
              <w:rPr>
                <w:sz w:val="20"/>
                <w:szCs w:val="20"/>
              </w:rPr>
            </w:pPr>
          </w:p>
        </w:tc>
        <w:tc>
          <w:tcPr>
            <w:tcW w:w="663" w:type="dxa"/>
            <w:shd w:val="clear" w:color="auto" w:fill="auto"/>
            <w:noWrap/>
            <w:vAlign w:val="bottom"/>
            <w:hideMark/>
          </w:tcPr>
          <w:p w14:paraId="16D91966"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21B014E8"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1180" w:type="dxa"/>
            <w:shd w:val="clear" w:color="auto" w:fill="auto"/>
            <w:noWrap/>
            <w:vAlign w:val="bottom"/>
            <w:hideMark/>
          </w:tcPr>
          <w:p w14:paraId="7B1EBA4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r>
      <w:tr w:rsidR="00BD4D02" w:rsidRPr="00BD4D02" w14:paraId="62607973" w14:textId="77777777" w:rsidTr="00050580">
        <w:trPr>
          <w:trHeight w:val="144"/>
        </w:trPr>
        <w:tc>
          <w:tcPr>
            <w:tcW w:w="4500" w:type="dxa"/>
            <w:shd w:val="clear" w:color="auto" w:fill="auto"/>
            <w:noWrap/>
            <w:vAlign w:val="bottom"/>
            <w:hideMark/>
          </w:tcPr>
          <w:p w14:paraId="73D1EC87"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Urban</w:t>
            </w:r>
          </w:p>
        </w:tc>
        <w:tc>
          <w:tcPr>
            <w:tcW w:w="770" w:type="dxa"/>
            <w:shd w:val="clear" w:color="auto" w:fill="auto"/>
            <w:noWrap/>
            <w:vAlign w:val="bottom"/>
            <w:hideMark/>
          </w:tcPr>
          <w:p w14:paraId="576BF213"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6332A6A1" w14:textId="77777777" w:rsidR="00BD4D02" w:rsidRPr="00BD4D02" w:rsidRDefault="00BD4D02" w:rsidP="00BD4D02">
            <w:pPr>
              <w:rPr>
                <w:sz w:val="20"/>
                <w:szCs w:val="20"/>
              </w:rPr>
            </w:pPr>
          </w:p>
        </w:tc>
        <w:tc>
          <w:tcPr>
            <w:tcW w:w="663" w:type="dxa"/>
            <w:shd w:val="clear" w:color="auto" w:fill="auto"/>
            <w:noWrap/>
            <w:vAlign w:val="bottom"/>
            <w:hideMark/>
          </w:tcPr>
          <w:p w14:paraId="292F65A0" w14:textId="77777777" w:rsidR="00BD4D02" w:rsidRPr="00BD4D02" w:rsidRDefault="00BD4D02" w:rsidP="00BD4D02">
            <w:pPr>
              <w:rPr>
                <w:sz w:val="20"/>
                <w:szCs w:val="20"/>
              </w:rPr>
            </w:pPr>
          </w:p>
        </w:tc>
        <w:tc>
          <w:tcPr>
            <w:tcW w:w="663" w:type="dxa"/>
            <w:shd w:val="clear" w:color="auto" w:fill="auto"/>
            <w:noWrap/>
            <w:vAlign w:val="bottom"/>
            <w:hideMark/>
          </w:tcPr>
          <w:p w14:paraId="1A5A7DA0" w14:textId="77777777" w:rsidR="00BD4D02" w:rsidRPr="00BD4D02" w:rsidRDefault="00BD4D02" w:rsidP="00BD4D02">
            <w:pPr>
              <w:rPr>
                <w:sz w:val="20"/>
                <w:szCs w:val="20"/>
              </w:rPr>
            </w:pPr>
          </w:p>
        </w:tc>
        <w:tc>
          <w:tcPr>
            <w:tcW w:w="663" w:type="dxa"/>
            <w:shd w:val="clear" w:color="auto" w:fill="auto"/>
            <w:noWrap/>
            <w:vAlign w:val="bottom"/>
            <w:hideMark/>
          </w:tcPr>
          <w:p w14:paraId="1C921614" w14:textId="77777777" w:rsidR="00BD4D02" w:rsidRPr="00BD4D02" w:rsidRDefault="00BD4D02" w:rsidP="00BD4D02">
            <w:pPr>
              <w:rPr>
                <w:sz w:val="20"/>
                <w:szCs w:val="20"/>
              </w:rPr>
            </w:pPr>
          </w:p>
        </w:tc>
        <w:tc>
          <w:tcPr>
            <w:tcW w:w="663" w:type="dxa"/>
            <w:shd w:val="clear" w:color="auto" w:fill="auto"/>
            <w:noWrap/>
            <w:vAlign w:val="bottom"/>
            <w:hideMark/>
          </w:tcPr>
          <w:p w14:paraId="2B65C486" w14:textId="77777777" w:rsidR="00BD4D02" w:rsidRPr="00BD4D02" w:rsidRDefault="00BD4D02" w:rsidP="00BD4D02">
            <w:pPr>
              <w:rPr>
                <w:sz w:val="20"/>
                <w:szCs w:val="20"/>
              </w:rPr>
            </w:pPr>
          </w:p>
        </w:tc>
        <w:tc>
          <w:tcPr>
            <w:tcW w:w="663" w:type="dxa"/>
            <w:shd w:val="clear" w:color="auto" w:fill="auto"/>
            <w:noWrap/>
            <w:vAlign w:val="bottom"/>
            <w:hideMark/>
          </w:tcPr>
          <w:p w14:paraId="7A31188D" w14:textId="77777777" w:rsidR="00BD4D02" w:rsidRPr="00BD4D02" w:rsidRDefault="00BD4D02" w:rsidP="00BD4D02">
            <w:pPr>
              <w:rPr>
                <w:sz w:val="20"/>
                <w:szCs w:val="20"/>
              </w:rPr>
            </w:pPr>
          </w:p>
        </w:tc>
        <w:tc>
          <w:tcPr>
            <w:tcW w:w="663" w:type="dxa"/>
            <w:shd w:val="clear" w:color="auto" w:fill="auto"/>
            <w:noWrap/>
            <w:vAlign w:val="bottom"/>
            <w:hideMark/>
          </w:tcPr>
          <w:p w14:paraId="4887CB30" w14:textId="77777777" w:rsidR="00BD4D02" w:rsidRPr="00BD4D02" w:rsidRDefault="00BD4D02" w:rsidP="00BD4D02">
            <w:pPr>
              <w:rPr>
                <w:sz w:val="20"/>
                <w:szCs w:val="20"/>
              </w:rPr>
            </w:pPr>
          </w:p>
        </w:tc>
        <w:tc>
          <w:tcPr>
            <w:tcW w:w="663" w:type="dxa"/>
            <w:shd w:val="clear" w:color="auto" w:fill="auto"/>
            <w:noWrap/>
            <w:vAlign w:val="bottom"/>
            <w:hideMark/>
          </w:tcPr>
          <w:p w14:paraId="1C8AD4EB" w14:textId="77777777" w:rsidR="00BD4D02" w:rsidRPr="00BD4D02" w:rsidRDefault="00BD4D02" w:rsidP="00BD4D02">
            <w:pPr>
              <w:rPr>
                <w:sz w:val="20"/>
                <w:szCs w:val="20"/>
              </w:rPr>
            </w:pPr>
          </w:p>
        </w:tc>
        <w:tc>
          <w:tcPr>
            <w:tcW w:w="663" w:type="dxa"/>
            <w:shd w:val="clear" w:color="auto" w:fill="auto"/>
            <w:noWrap/>
            <w:vAlign w:val="bottom"/>
            <w:hideMark/>
          </w:tcPr>
          <w:p w14:paraId="1517051A" w14:textId="77777777" w:rsidR="00BD4D02" w:rsidRPr="00BD4D02" w:rsidRDefault="00BD4D02" w:rsidP="00BD4D02">
            <w:pPr>
              <w:rPr>
                <w:sz w:val="20"/>
                <w:szCs w:val="20"/>
              </w:rPr>
            </w:pPr>
          </w:p>
        </w:tc>
        <w:tc>
          <w:tcPr>
            <w:tcW w:w="663" w:type="dxa"/>
            <w:shd w:val="clear" w:color="auto" w:fill="auto"/>
            <w:noWrap/>
            <w:vAlign w:val="bottom"/>
            <w:hideMark/>
          </w:tcPr>
          <w:p w14:paraId="2F2B8618"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33C423C8"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1180" w:type="dxa"/>
            <w:shd w:val="clear" w:color="auto" w:fill="auto"/>
            <w:noWrap/>
            <w:vAlign w:val="bottom"/>
            <w:hideMark/>
          </w:tcPr>
          <w:p w14:paraId="069D7A10"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r>
      <w:tr w:rsidR="00BD4D02" w:rsidRPr="00BD4D02" w14:paraId="16590571" w14:textId="77777777" w:rsidTr="00050580">
        <w:trPr>
          <w:trHeight w:val="144"/>
        </w:trPr>
        <w:tc>
          <w:tcPr>
            <w:tcW w:w="4500" w:type="dxa"/>
            <w:shd w:val="clear" w:color="auto" w:fill="auto"/>
            <w:noWrap/>
            <w:vAlign w:val="bottom"/>
            <w:hideMark/>
          </w:tcPr>
          <w:p w14:paraId="2A200F1D" w14:textId="77777777" w:rsidR="00BD4D02" w:rsidRPr="00BD4D02" w:rsidRDefault="00BD4D02" w:rsidP="00BD4D02">
            <w:pPr>
              <w:rPr>
                <w:rFonts w:ascii="Calibri" w:hAnsi="Calibri" w:cs="Calibri"/>
                <w:b/>
                <w:bCs/>
                <w:color w:val="000000"/>
                <w:sz w:val="20"/>
                <w:szCs w:val="20"/>
              </w:rPr>
            </w:pPr>
            <w:r w:rsidRPr="00BD4D02">
              <w:rPr>
                <w:rFonts w:ascii="Calibri" w:hAnsi="Calibri" w:cs="Calibri"/>
                <w:b/>
                <w:bCs/>
                <w:color w:val="000000"/>
                <w:sz w:val="20"/>
                <w:szCs w:val="20"/>
              </w:rPr>
              <w:t>Broadcasting</w:t>
            </w:r>
          </w:p>
        </w:tc>
        <w:tc>
          <w:tcPr>
            <w:tcW w:w="770" w:type="dxa"/>
            <w:shd w:val="clear" w:color="auto" w:fill="auto"/>
            <w:noWrap/>
            <w:vAlign w:val="bottom"/>
            <w:hideMark/>
          </w:tcPr>
          <w:p w14:paraId="2AF09950"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110</w:t>
            </w:r>
          </w:p>
        </w:tc>
        <w:tc>
          <w:tcPr>
            <w:tcW w:w="663" w:type="dxa"/>
            <w:shd w:val="clear" w:color="auto" w:fill="auto"/>
            <w:noWrap/>
            <w:vAlign w:val="bottom"/>
            <w:hideMark/>
          </w:tcPr>
          <w:p w14:paraId="6B365A5E"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116</w:t>
            </w:r>
          </w:p>
        </w:tc>
        <w:tc>
          <w:tcPr>
            <w:tcW w:w="663" w:type="dxa"/>
            <w:shd w:val="clear" w:color="auto" w:fill="auto"/>
            <w:noWrap/>
            <w:vAlign w:val="bottom"/>
            <w:hideMark/>
          </w:tcPr>
          <w:p w14:paraId="1F35ACDB"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111</w:t>
            </w:r>
          </w:p>
        </w:tc>
        <w:tc>
          <w:tcPr>
            <w:tcW w:w="663" w:type="dxa"/>
            <w:shd w:val="clear" w:color="auto" w:fill="auto"/>
            <w:noWrap/>
            <w:vAlign w:val="bottom"/>
            <w:hideMark/>
          </w:tcPr>
          <w:p w14:paraId="693505D4"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119</w:t>
            </w:r>
          </w:p>
        </w:tc>
        <w:tc>
          <w:tcPr>
            <w:tcW w:w="663" w:type="dxa"/>
            <w:shd w:val="clear" w:color="auto" w:fill="auto"/>
            <w:noWrap/>
            <w:vAlign w:val="bottom"/>
            <w:hideMark/>
          </w:tcPr>
          <w:p w14:paraId="322D7FAA"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127</w:t>
            </w:r>
          </w:p>
        </w:tc>
        <w:tc>
          <w:tcPr>
            <w:tcW w:w="663" w:type="dxa"/>
            <w:shd w:val="clear" w:color="auto" w:fill="auto"/>
            <w:noWrap/>
            <w:vAlign w:val="bottom"/>
            <w:hideMark/>
          </w:tcPr>
          <w:p w14:paraId="16877AF2"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104</w:t>
            </w:r>
          </w:p>
        </w:tc>
        <w:tc>
          <w:tcPr>
            <w:tcW w:w="663" w:type="dxa"/>
            <w:shd w:val="clear" w:color="auto" w:fill="auto"/>
            <w:noWrap/>
            <w:vAlign w:val="bottom"/>
            <w:hideMark/>
          </w:tcPr>
          <w:p w14:paraId="668455C0"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127</w:t>
            </w:r>
          </w:p>
        </w:tc>
        <w:tc>
          <w:tcPr>
            <w:tcW w:w="663" w:type="dxa"/>
            <w:shd w:val="clear" w:color="auto" w:fill="auto"/>
            <w:noWrap/>
            <w:vAlign w:val="bottom"/>
            <w:hideMark/>
          </w:tcPr>
          <w:p w14:paraId="7DDA9DA8"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132</w:t>
            </w:r>
          </w:p>
        </w:tc>
        <w:tc>
          <w:tcPr>
            <w:tcW w:w="663" w:type="dxa"/>
            <w:shd w:val="clear" w:color="auto" w:fill="auto"/>
            <w:noWrap/>
            <w:vAlign w:val="bottom"/>
            <w:hideMark/>
          </w:tcPr>
          <w:p w14:paraId="46DF4059"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136</w:t>
            </w:r>
          </w:p>
        </w:tc>
        <w:tc>
          <w:tcPr>
            <w:tcW w:w="663" w:type="dxa"/>
            <w:shd w:val="clear" w:color="auto" w:fill="auto"/>
            <w:noWrap/>
            <w:vAlign w:val="bottom"/>
            <w:hideMark/>
          </w:tcPr>
          <w:p w14:paraId="7DB47C28"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139</w:t>
            </w:r>
          </w:p>
        </w:tc>
        <w:tc>
          <w:tcPr>
            <w:tcW w:w="663" w:type="dxa"/>
            <w:shd w:val="clear" w:color="auto" w:fill="auto"/>
            <w:noWrap/>
            <w:vAlign w:val="bottom"/>
            <w:hideMark/>
          </w:tcPr>
          <w:p w14:paraId="100C04F8"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84</w:t>
            </w:r>
          </w:p>
        </w:tc>
        <w:tc>
          <w:tcPr>
            <w:tcW w:w="663" w:type="dxa"/>
            <w:shd w:val="clear" w:color="auto" w:fill="auto"/>
            <w:noWrap/>
            <w:vAlign w:val="bottom"/>
            <w:hideMark/>
          </w:tcPr>
          <w:p w14:paraId="38274A14"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88</w:t>
            </w:r>
          </w:p>
        </w:tc>
        <w:tc>
          <w:tcPr>
            <w:tcW w:w="1180" w:type="dxa"/>
            <w:shd w:val="clear" w:color="auto" w:fill="auto"/>
            <w:noWrap/>
            <w:vAlign w:val="bottom"/>
            <w:hideMark/>
          </w:tcPr>
          <w:p w14:paraId="5651ACA4"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1393</w:t>
            </w:r>
          </w:p>
        </w:tc>
      </w:tr>
      <w:tr w:rsidR="00BD4D02" w:rsidRPr="00BD4D02" w14:paraId="4992728B" w14:textId="77777777" w:rsidTr="00050580">
        <w:trPr>
          <w:trHeight w:val="144"/>
        </w:trPr>
        <w:tc>
          <w:tcPr>
            <w:tcW w:w="4500" w:type="dxa"/>
            <w:shd w:val="clear" w:color="auto" w:fill="auto"/>
            <w:noWrap/>
            <w:vAlign w:val="bottom"/>
            <w:hideMark/>
          </w:tcPr>
          <w:p w14:paraId="70328F2C" w14:textId="77777777" w:rsidR="00BD4D02" w:rsidRPr="00BD4D02" w:rsidRDefault="00BD4D02" w:rsidP="00BD4D02">
            <w:pPr>
              <w:ind w:firstLineChars="100" w:firstLine="201"/>
              <w:rPr>
                <w:rFonts w:ascii="Calibri" w:hAnsi="Calibri" w:cs="Calibri"/>
                <w:b/>
                <w:bCs/>
                <w:color w:val="000000"/>
                <w:sz w:val="20"/>
                <w:szCs w:val="20"/>
              </w:rPr>
            </w:pPr>
            <w:r w:rsidRPr="00BD4D02">
              <w:rPr>
                <w:rFonts w:ascii="Calibri" w:hAnsi="Calibri" w:cs="Calibri"/>
                <w:b/>
                <w:bCs/>
                <w:color w:val="000000"/>
                <w:sz w:val="20"/>
                <w:szCs w:val="20"/>
              </w:rPr>
              <w:t>Industry structure</w:t>
            </w:r>
          </w:p>
        </w:tc>
        <w:tc>
          <w:tcPr>
            <w:tcW w:w="770" w:type="dxa"/>
            <w:shd w:val="clear" w:color="auto" w:fill="auto"/>
            <w:noWrap/>
            <w:vAlign w:val="bottom"/>
            <w:hideMark/>
          </w:tcPr>
          <w:p w14:paraId="5EAB83FE"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6</w:t>
            </w:r>
          </w:p>
        </w:tc>
        <w:tc>
          <w:tcPr>
            <w:tcW w:w="663" w:type="dxa"/>
            <w:shd w:val="clear" w:color="auto" w:fill="auto"/>
            <w:noWrap/>
            <w:vAlign w:val="bottom"/>
            <w:hideMark/>
          </w:tcPr>
          <w:p w14:paraId="74F38E99"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11</w:t>
            </w:r>
          </w:p>
        </w:tc>
        <w:tc>
          <w:tcPr>
            <w:tcW w:w="663" w:type="dxa"/>
            <w:shd w:val="clear" w:color="auto" w:fill="auto"/>
            <w:noWrap/>
            <w:vAlign w:val="bottom"/>
            <w:hideMark/>
          </w:tcPr>
          <w:p w14:paraId="3EB26FEE"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9</w:t>
            </w:r>
          </w:p>
        </w:tc>
        <w:tc>
          <w:tcPr>
            <w:tcW w:w="663" w:type="dxa"/>
            <w:shd w:val="clear" w:color="auto" w:fill="auto"/>
            <w:noWrap/>
            <w:vAlign w:val="bottom"/>
            <w:hideMark/>
          </w:tcPr>
          <w:p w14:paraId="5E7CCA1C"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8</w:t>
            </w:r>
          </w:p>
        </w:tc>
        <w:tc>
          <w:tcPr>
            <w:tcW w:w="663" w:type="dxa"/>
            <w:shd w:val="clear" w:color="auto" w:fill="auto"/>
            <w:noWrap/>
            <w:vAlign w:val="bottom"/>
            <w:hideMark/>
          </w:tcPr>
          <w:p w14:paraId="74628D67"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7</w:t>
            </w:r>
          </w:p>
        </w:tc>
        <w:tc>
          <w:tcPr>
            <w:tcW w:w="663" w:type="dxa"/>
            <w:shd w:val="clear" w:color="auto" w:fill="auto"/>
            <w:noWrap/>
            <w:vAlign w:val="bottom"/>
            <w:hideMark/>
          </w:tcPr>
          <w:p w14:paraId="03D7A494"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7</w:t>
            </w:r>
          </w:p>
        </w:tc>
        <w:tc>
          <w:tcPr>
            <w:tcW w:w="663" w:type="dxa"/>
            <w:shd w:val="clear" w:color="auto" w:fill="auto"/>
            <w:noWrap/>
            <w:vAlign w:val="bottom"/>
            <w:hideMark/>
          </w:tcPr>
          <w:p w14:paraId="02D1747F"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11</w:t>
            </w:r>
          </w:p>
        </w:tc>
        <w:tc>
          <w:tcPr>
            <w:tcW w:w="663" w:type="dxa"/>
            <w:shd w:val="clear" w:color="auto" w:fill="auto"/>
            <w:noWrap/>
            <w:vAlign w:val="bottom"/>
            <w:hideMark/>
          </w:tcPr>
          <w:p w14:paraId="386EDE7D"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15</w:t>
            </w:r>
          </w:p>
        </w:tc>
        <w:tc>
          <w:tcPr>
            <w:tcW w:w="663" w:type="dxa"/>
            <w:shd w:val="clear" w:color="auto" w:fill="auto"/>
            <w:noWrap/>
            <w:vAlign w:val="bottom"/>
            <w:hideMark/>
          </w:tcPr>
          <w:p w14:paraId="105A3DA7"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13</w:t>
            </w:r>
          </w:p>
        </w:tc>
        <w:tc>
          <w:tcPr>
            <w:tcW w:w="663" w:type="dxa"/>
            <w:shd w:val="clear" w:color="auto" w:fill="auto"/>
            <w:noWrap/>
            <w:vAlign w:val="bottom"/>
            <w:hideMark/>
          </w:tcPr>
          <w:p w14:paraId="70FBEAC9"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12</w:t>
            </w:r>
          </w:p>
        </w:tc>
        <w:tc>
          <w:tcPr>
            <w:tcW w:w="663" w:type="dxa"/>
            <w:shd w:val="clear" w:color="auto" w:fill="auto"/>
            <w:noWrap/>
            <w:vAlign w:val="bottom"/>
            <w:hideMark/>
          </w:tcPr>
          <w:p w14:paraId="0B6B06ED"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6</w:t>
            </w:r>
          </w:p>
        </w:tc>
        <w:tc>
          <w:tcPr>
            <w:tcW w:w="663" w:type="dxa"/>
            <w:shd w:val="clear" w:color="auto" w:fill="auto"/>
            <w:noWrap/>
            <w:vAlign w:val="bottom"/>
            <w:hideMark/>
          </w:tcPr>
          <w:p w14:paraId="23F566C6"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20</w:t>
            </w:r>
          </w:p>
        </w:tc>
        <w:tc>
          <w:tcPr>
            <w:tcW w:w="1180" w:type="dxa"/>
            <w:shd w:val="clear" w:color="auto" w:fill="auto"/>
            <w:noWrap/>
            <w:vAlign w:val="bottom"/>
            <w:hideMark/>
          </w:tcPr>
          <w:p w14:paraId="18748802"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125</w:t>
            </w:r>
          </w:p>
        </w:tc>
      </w:tr>
      <w:tr w:rsidR="00BD4D02" w:rsidRPr="00BD4D02" w14:paraId="38370AB4" w14:textId="77777777" w:rsidTr="00050580">
        <w:trPr>
          <w:trHeight w:val="144"/>
        </w:trPr>
        <w:tc>
          <w:tcPr>
            <w:tcW w:w="4500" w:type="dxa"/>
            <w:shd w:val="clear" w:color="auto" w:fill="auto"/>
            <w:noWrap/>
            <w:vAlign w:val="bottom"/>
            <w:hideMark/>
          </w:tcPr>
          <w:p w14:paraId="124112B8"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BDU community channels</w:t>
            </w:r>
          </w:p>
        </w:tc>
        <w:tc>
          <w:tcPr>
            <w:tcW w:w="770" w:type="dxa"/>
            <w:shd w:val="clear" w:color="auto" w:fill="auto"/>
            <w:noWrap/>
            <w:vAlign w:val="bottom"/>
            <w:hideMark/>
          </w:tcPr>
          <w:p w14:paraId="6577D69D"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41712099"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2BFC6613"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0CE4AE3D"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3BFD0AA4"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758DFD0F" w14:textId="77777777" w:rsidR="00BD4D02" w:rsidRPr="00BD4D02" w:rsidRDefault="00BD4D02" w:rsidP="00BD4D02">
            <w:pPr>
              <w:rPr>
                <w:sz w:val="20"/>
                <w:szCs w:val="20"/>
              </w:rPr>
            </w:pPr>
          </w:p>
        </w:tc>
        <w:tc>
          <w:tcPr>
            <w:tcW w:w="663" w:type="dxa"/>
            <w:shd w:val="clear" w:color="auto" w:fill="auto"/>
            <w:noWrap/>
            <w:vAlign w:val="bottom"/>
            <w:hideMark/>
          </w:tcPr>
          <w:p w14:paraId="63320D3A" w14:textId="77777777" w:rsidR="00BD4D02" w:rsidRPr="00BD4D02" w:rsidRDefault="00BD4D02" w:rsidP="00BD4D02">
            <w:pPr>
              <w:rPr>
                <w:sz w:val="20"/>
                <w:szCs w:val="20"/>
              </w:rPr>
            </w:pPr>
          </w:p>
        </w:tc>
        <w:tc>
          <w:tcPr>
            <w:tcW w:w="663" w:type="dxa"/>
            <w:shd w:val="clear" w:color="auto" w:fill="auto"/>
            <w:noWrap/>
            <w:vAlign w:val="bottom"/>
            <w:hideMark/>
          </w:tcPr>
          <w:p w14:paraId="12324FC0" w14:textId="77777777" w:rsidR="00BD4D02" w:rsidRPr="00BD4D02" w:rsidRDefault="00BD4D02" w:rsidP="00BD4D02">
            <w:pPr>
              <w:rPr>
                <w:sz w:val="20"/>
                <w:szCs w:val="20"/>
              </w:rPr>
            </w:pPr>
          </w:p>
        </w:tc>
        <w:tc>
          <w:tcPr>
            <w:tcW w:w="663" w:type="dxa"/>
            <w:shd w:val="clear" w:color="auto" w:fill="auto"/>
            <w:noWrap/>
            <w:vAlign w:val="bottom"/>
            <w:hideMark/>
          </w:tcPr>
          <w:p w14:paraId="2F2A3EE2" w14:textId="77777777" w:rsidR="00BD4D02" w:rsidRPr="00BD4D02" w:rsidRDefault="00BD4D02" w:rsidP="00BD4D02">
            <w:pPr>
              <w:rPr>
                <w:sz w:val="20"/>
                <w:szCs w:val="20"/>
              </w:rPr>
            </w:pPr>
          </w:p>
        </w:tc>
        <w:tc>
          <w:tcPr>
            <w:tcW w:w="663" w:type="dxa"/>
            <w:shd w:val="clear" w:color="auto" w:fill="auto"/>
            <w:noWrap/>
            <w:vAlign w:val="bottom"/>
            <w:hideMark/>
          </w:tcPr>
          <w:p w14:paraId="02BB3E8B" w14:textId="77777777" w:rsidR="00BD4D02" w:rsidRPr="00BD4D02" w:rsidRDefault="00BD4D02" w:rsidP="00BD4D02">
            <w:pPr>
              <w:rPr>
                <w:sz w:val="20"/>
                <w:szCs w:val="20"/>
              </w:rPr>
            </w:pPr>
          </w:p>
        </w:tc>
        <w:tc>
          <w:tcPr>
            <w:tcW w:w="663" w:type="dxa"/>
            <w:shd w:val="clear" w:color="auto" w:fill="auto"/>
            <w:noWrap/>
            <w:vAlign w:val="bottom"/>
            <w:hideMark/>
          </w:tcPr>
          <w:p w14:paraId="645B1730" w14:textId="77777777" w:rsidR="00BD4D02" w:rsidRPr="00BD4D02" w:rsidRDefault="00BD4D02" w:rsidP="00BD4D02">
            <w:pPr>
              <w:rPr>
                <w:sz w:val="20"/>
                <w:szCs w:val="20"/>
              </w:rPr>
            </w:pPr>
          </w:p>
        </w:tc>
        <w:tc>
          <w:tcPr>
            <w:tcW w:w="663" w:type="dxa"/>
            <w:shd w:val="clear" w:color="auto" w:fill="auto"/>
            <w:noWrap/>
            <w:vAlign w:val="bottom"/>
            <w:hideMark/>
          </w:tcPr>
          <w:p w14:paraId="15956B3A" w14:textId="77777777" w:rsidR="00BD4D02" w:rsidRPr="00BD4D02" w:rsidRDefault="00BD4D02" w:rsidP="00BD4D02">
            <w:pPr>
              <w:rPr>
                <w:sz w:val="20"/>
                <w:szCs w:val="20"/>
              </w:rPr>
            </w:pPr>
          </w:p>
        </w:tc>
        <w:tc>
          <w:tcPr>
            <w:tcW w:w="1180" w:type="dxa"/>
            <w:shd w:val="clear" w:color="auto" w:fill="auto"/>
            <w:noWrap/>
            <w:vAlign w:val="bottom"/>
            <w:hideMark/>
          </w:tcPr>
          <w:p w14:paraId="203F51EF"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4</w:t>
            </w:r>
          </w:p>
        </w:tc>
      </w:tr>
      <w:tr w:rsidR="00BD4D02" w:rsidRPr="00BD4D02" w14:paraId="17911589" w14:textId="77777777" w:rsidTr="00050580">
        <w:trPr>
          <w:trHeight w:val="144"/>
        </w:trPr>
        <w:tc>
          <w:tcPr>
            <w:tcW w:w="4500" w:type="dxa"/>
            <w:shd w:val="clear" w:color="auto" w:fill="auto"/>
            <w:noWrap/>
            <w:vAlign w:val="bottom"/>
            <w:hideMark/>
          </w:tcPr>
          <w:p w14:paraId="32A25CCE"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BDUs</w:t>
            </w:r>
          </w:p>
        </w:tc>
        <w:tc>
          <w:tcPr>
            <w:tcW w:w="770" w:type="dxa"/>
            <w:shd w:val="clear" w:color="auto" w:fill="auto"/>
            <w:noWrap/>
            <w:vAlign w:val="bottom"/>
            <w:hideMark/>
          </w:tcPr>
          <w:p w14:paraId="19CF1445"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38494ED8" w14:textId="77777777" w:rsidR="00BD4D02" w:rsidRPr="00BD4D02" w:rsidRDefault="00BD4D02" w:rsidP="00BD4D02">
            <w:pPr>
              <w:rPr>
                <w:sz w:val="20"/>
                <w:szCs w:val="20"/>
              </w:rPr>
            </w:pPr>
          </w:p>
        </w:tc>
        <w:tc>
          <w:tcPr>
            <w:tcW w:w="663" w:type="dxa"/>
            <w:shd w:val="clear" w:color="auto" w:fill="auto"/>
            <w:noWrap/>
            <w:vAlign w:val="bottom"/>
            <w:hideMark/>
          </w:tcPr>
          <w:p w14:paraId="6F627BA6" w14:textId="77777777" w:rsidR="00BD4D02" w:rsidRPr="00BD4D02" w:rsidRDefault="00BD4D02" w:rsidP="00BD4D02">
            <w:pPr>
              <w:rPr>
                <w:sz w:val="20"/>
                <w:szCs w:val="20"/>
              </w:rPr>
            </w:pPr>
          </w:p>
        </w:tc>
        <w:tc>
          <w:tcPr>
            <w:tcW w:w="663" w:type="dxa"/>
            <w:shd w:val="clear" w:color="auto" w:fill="auto"/>
            <w:noWrap/>
            <w:vAlign w:val="bottom"/>
            <w:hideMark/>
          </w:tcPr>
          <w:p w14:paraId="302E7E93" w14:textId="77777777" w:rsidR="00BD4D02" w:rsidRPr="00BD4D02" w:rsidRDefault="00BD4D02" w:rsidP="00BD4D02">
            <w:pPr>
              <w:rPr>
                <w:sz w:val="20"/>
                <w:szCs w:val="20"/>
              </w:rPr>
            </w:pPr>
          </w:p>
        </w:tc>
        <w:tc>
          <w:tcPr>
            <w:tcW w:w="663" w:type="dxa"/>
            <w:shd w:val="clear" w:color="auto" w:fill="auto"/>
            <w:noWrap/>
            <w:vAlign w:val="bottom"/>
            <w:hideMark/>
          </w:tcPr>
          <w:p w14:paraId="02BA9D34" w14:textId="77777777" w:rsidR="00BD4D02" w:rsidRPr="00BD4D02" w:rsidRDefault="00BD4D02" w:rsidP="00BD4D02">
            <w:pPr>
              <w:rPr>
                <w:sz w:val="20"/>
                <w:szCs w:val="20"/>
              </w:rPr>
            </w:pPr>
          </w:p>
        </w:tc>
        <w:tc>
          <w:tcPr>
            <w:tcW w:w="663" w:type="dxa"/>
            <w:shd w:val="clear" w:color="auto" w:fill="auto"/>
            <w:noWrap/>
            <w:vAlign w:val="bottom"/>
            <w:hideMark/>
          </w:tcPr>
          <w:p w14:paraId="4C2D9886" w14:textId="77777777" w:rsidR="00BD4D02" w:rsidRPr="00BD4D02" w:rsidRDefault="00BD4D02" w:rsidP="00BD4D02">
            <w:pPr>
              <w:rPr>
                <w:sz w:val="20"/>
                <w:szCs w:val="20"/>
              </w:rPr>
            </w:pPr>
          </w:p>
        </w:tc>
        <w:tc>
          <w:tcPr>
            <w:tcW w:w="663" w:type="dxa"/>
            <w:shd w:val="clear" w:color="auto" w:fill="auto"/>
            <w:noWrap/>
            <w:vAlign w:val="bottom"/>
            <w:hideMark/>
          </w:tcPr>
          <w:p w14:paraId="0C413536"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3CA30BA5"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5602872A" w14:textId="77777777" w:rsidR="00BD4D02" w:rsidRPr="00BD4D02" w:rsidRDefault="00BD4D02" w:rsidP="00BD4D02">
            <w:pPr>
              <w:rPr>
                <w:sz w:val="20"/>
                <w:szCs w:val="20"/>
              </w:rPr>
            </w:pPr>
          </w:p>
        </w:tc>
        <w:tc>
          <w:tcPr>
            <w:tcW w:w="663" w:type="dxa"/>
            <w:shd w:val="clear" w:color="auto" w:fill="auto"/>
            <w:noWrap/>
            <w:vAlign w:val="bottom"/>
            <w:hideMark/>
          </w:tcPr>
          <w:p w14:paraId="3A084860" w14:textId="77777777" w:rsidR="00BD4D02" w:rsidRPr="00BD4D02" w:rsidRDefault="00BD4D02" w:rsidP="00BD4D02">
            <w:pPr>
              <w:rPr>
                <w:sz w:val="20"/>
                <w:szCs w:val="20"/>
              </w:rPr>
            </w:pPr>
          </w:p>
        </w:tc>
        <w:tc>
          <w:tcPr>
            <w:tcW w:w="663" w:type="dxa"/>
            <w:shd w:val="clear" w:color="auto" w:fill="auto"/>
            <w:noWrap/>
            <w:vAlign w:val="bottom"/>
            <w:hideMark/>
          </w:tcPr>
          <w:p w14:paraId="6ACD56DA" w14:textId="77777777" w:rsidR="00BD4D02" w:rsidRPr="00BD4D02" w:rsidRDefault="00BD4D02" w:rsidP="00BD4D02">
            <w:pPr>
              <w:rPr>
                <w:sz w:val="20"/>
                <w:szCs w:val="20"/>
              </w:rPr>
            </w:pPr>
          </w:p>
        </w:tc>
        <w:tc>
          <w:tcPr>
            <w:tcW w:w="663" w:type="dxa"/>
            <w:shd w:val="clear" w:color="auto" w:fill="auto"/>
            <w:noWrap/>
            <w:vAlign w:val="bottom"/>
            <w:hideMark/>
          </w:tcPr>
          <w:p w14:paraId="6289CA13"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1180" w:type="dxa"/>
            <w:shd w:val="clear" w:color="auto" w:fill="auto"/>
            <w:noWrap/>
            <w:vAlign w:val="bottom"/>
            <w:hideMark/>
          </w:tcPr>
          <w:p w14:paraId="5B1A35DC"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w:t>
            </w:r>
          </w:p>
        </w:tc>
      </w:tr>
      <w:tr w:rsidR="00BD4D02" w:rsidRPr="00BD4D02" w14:paraId="2E344034" w14:textId="77777777" w:rsidTr="00050580">
        <w:trPr>
          <w:trHeight w:val="144"/>
        </w:trPr>
        <w:tc>
          <w:tcPr>
            <w:tcW w:w="4500" w:type="dxa"/>
            <w:shd w:val="clear" w:color="auto" w:fill="auto"/>
            <w:noWrap/>
            <w:vAlign w:val="bottom"/>
            <w:hideMark/>
          </w:tcPr>
          <w:p w14:paraId="33F3EFBA"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Broadcasting</w:t>
            </w:r>
          </w:p>
        </w:tc>
        <w:tc>
          <w:tcPr>
            <w:tcW w:w="770" w:type="dxa"/>
            <w:shd w:val="clear" w:color="auto" w:fill="auto"/>
            <w:noWrap/>
            <w:vAlign w:val="bottom"/>
            <w:hideMark/>
          </w:tcPr>
          <w:p w14:paraId="30408CEF"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376B88E9" w14:textId="77777777" w:rsidR="00BD4D02" w:rsidRPr="00BD4D02" w:rsidRDefault="00BD4D02" w:rsidP="00BD4D02">
            <w:pPr>
              <w:rPr>
                <w:sz w:val="20"/>
                <w:szCs w:val="20"/>
              </w:rPr>
            </w:pPr>
          </w:p>
        </w:tc>
        <w:tc>
          <w:tcPr>
            <w:tcW w:w="663" w:type="dxa"/>
            <w:shd w:val="clear" w:color="auto" w:fill="auto"/>
            <w:noWrap/>
            <w:vAlign w:val="bottom"/>
            <w:hideMark/>
          </w:tcPr>
          <w:p w14:paraId="3370358D" w14:textId="77777777" w:rsidR="00BD4D02" w:rsidRPr="00BD4D02" w:rsidRDefault="00BD4D02" w:rsidP="00BD4D02">
            <w:pPr>
              <w:rPr>
                <w:sz w:val="20"/>
                <w:szCs w:val="20"/>
              </w:rPr>
            </w:pPr>
          </w:p>
        </w:tc>
        <w:tc>
          <w:tcPr>
            <w:tcW w:w="663" w:type="dxa"/>
            <w:shd w:val="clear" w:color="auto" w:fill="auto"/>
            <w:noWrap/>
            <w:vAlign w:val="bottom"/>
            <w:hideMark/>
          </w:tcPr>
          <w:p w14:paraId="72C33311" w14:textId="77777777" w:rsidR="00BD4D02" w:rsidRPr="00BD4D02" w:rsidRDefault="00BD4D02" w:rsidP="00BD4D02">
            <w:pPr>
              <w:rPr>
                <w:sz w:val="20"/>
                <w:szCs w:val="20"/>
              </w:rPr>
            </w:pPr>
          </w:p>
        </w:tc>
        <w:tc>
          <w:tcPr>
            <w:tcW w:w="663" w:type="dxa"/>
            <w:shd w:val="clear" w:color="auto" w:fill="auto"/>
            <w:noWrap/>
            <w:vAlign w:val="bottom"/>
            <w:hideMark/>
          </w:tcPr>
          <w:p w14:paraId="458B1301" w14:textId="77777777" w:rsidR="00BD4D02" w:rsidRPr="00BD4D02" w:rsidRDefault="00BD4D02" w:rsidP="00BD4D02">
            <w:pPr>
              <w:rPr>
                <w:sz w:val="20"/>
                <w:szCs w:val="20"/>
              </w:rPr>
            </w:pPr>
          </w:p>
        </w:tc>
        <w:tc>
          <w:tcPr>
            <w:tcW w:w="663" w:type="dxa"/>
            <w:shd w:val="clear" w:color="auto" w:fill="auto"/>
            <w:noWrap/>
            <w:vAlign w:val="bottom"/>
            <w:hideMark/>
          </w:tcPr>
          <w:p w14:paraId="0364E2B6" w14:textId="77777777" w:rsidR="00BD4D02" w:rsidRPr="00BD4D02" w:rsidRDefault="00BD4D02" w:rsidP="00BD4D02">
            <w:pPr>
              <w:rPr>
                <w:sz w:val="20"/>
                <w:szCs w:val="20"/>
              </w:rPr>
            </w:pPr>
          </w:p>
        </w:tc>
        <w:tc>
          <w:tcPr>
            <w:tcW w:w="663" w:type="dxa"/>
            <w:shd w:val="clear" w:color="auto" w:fill="auto"/>
            <w:noWrap/>
            <w:vAlign w:val="bottom"/>
            <w:hideMark/>
          </w:tcPr>
          <w:p w14:paraId="505A0F52"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2A0AA744"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75BF9372" w14:textId="77777777" w:rsidR="00BD4D02" w:rsidRPr="00BD4D02" w:rsidRDefault="00BD4D02" w:rsidP="00BD4D02">
            <w:pPr>
              <w:rPr>
                <w:sz w:val="20"/>
                <w:szCs w:val="20"/>
              </w:rPr>
            </w:pPr>
          </w:p>
        </w:tc>
        <w:tc>
          <w:tcPr>
            <w:tcW w:w="663" w:type="dxa"/>
            <w:shd w:val="clear" w:color="auto" w:fill="auto"/>
            <w:noWrap/>
            <w:vAlign w:val="bottom"/>
            <w:hideMark/>
          </w:tcPr>
          <w:p w14:paraId="51888203" w14:textId="77777777" w:rsidR="00BD4D02" w:rsidRPr="00BD4D02" w:rsidRDefault="00BD4D02" w:rsidP="00BD4D02">
            <w:pPr>
              <w:rPr>
                <w:sz w:val="20"/>
                <w:szCs w:val="20"/>
              </w:rPr>
            </w:pPr>
          </w:p>
        </w:tc>
        <w:tc>
          <w:tcPr>
            <w:tcW w:w="663" w:type="dxa"/>
            <w:shd w:val="clear" w:color="auto" w:fill="auto"/>
            <w:noWrap/>
            <w:vAlign w:val="bottom"/>
            <w:hideMark/>
          </w:tcPr>
          <w:p w14:paraId="7CF081D5"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31B1B2EE"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1180" w:type="dxa"/>
            <w:shd w:val="clear" w:color="auto" w:fill="auto"/>
            <w:noWrap/>
            <w:vAlign w:val="bottom"/>
            <w:hideMark/>
          </w:tcPr>
          <w:p w14:paraId="092A1354"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4</w:t>
            </w:r>
          </w:p>
        </w:tc>
      </w:tr>
      <w:tr w:rsidR="00BD4D02" w:rsidRPr="00BD4D02" w14:paraId="17D65014" w14:textId="77777777" w:rsidTr="00050580">
        <w:trPr>
          <w:trHeight w:val="144"/>
        </w:trPr>
        <w:tc>
          <w:tcPr>
            <w:tcW w:w="4500" w:type="dxa"/>
            <w:shd w:val="clear" w:color="auto" w:fill="auto"/>
            <w:noWrap/>
            <w:vAlign w:val="bottom"/>
            <w:hideMark/>
          </w:tcPr>
          <w:p w14:paraId="258FD7B2"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CBC</w:t>
            </w:r>
          </w:p>
        </w:tc>
        <w:tc>
          <w:tcPr>
            <w:tcW w:w="770" w:type="dxa"/>
            <w:shd w:val="clear" w:color="auto" w:fill="auto"/>
            <w:noWrap/>
            <w:vAlign w:val="bottom"/>
            <w:hideMark/>
          </w:tcPr>
          <w:p w14:paraId="1A52821C"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6A5639B8" w14:textId="77777777" w:rsidR="00BD4D02" w:rsidRPr="00BD4D02" w:rsidRDefault="00BD4D02" w:rsidP="00BD4D02">
            <w:pPr>
              <w:rPr>
                <w:sz w:val="20"/>
                <w:szCs w:val="20"/>
              </w:rPr>
            </w:pPr>
          </w:p>
        </w:tc>
        <w:tc>
          <w:tcPr>
            <w:tcW w:w="663" w:type="dxa"/>
            <w:shd w:val="clear" w:color="auto" w:fill="auto"/>
            <w:noWrap/>
            <w:vAlign w:val="bottom"/>
            <w:hideMark/>
          </w:tcPr>
          <w:p w14:paraId="08F147FA" w14:textId="77777777" w:rsidR="00BD4D02" w:rsidRPr="00BD4D02" w:rsidRDefault="00BD4D02" w:rsidP="00BD4D02">
            <w:pPr>
              <w:rPr>
                <w:sz w:val="20"/>
                <w:szCs w:val="20"/>
              </w:rPr>
            </w:pPr>
          </w:p>
        </w:tc>
        <w:tc>
          <w:tcPr>
            <w:tcW w:w="663" w:type="dxa"/>
            <w:shd w:val="clear" w:color="auto" w:fill="auto"/>
            <w:noWrap/>
            <w:vAlign w:val="bottom"/>
            <w:hideMark/>
          </w:tcPr>
          <w:p w14:paraId="2B62E62A" w14:textId="77777777" w:rsidR="00BD4D02" w:rsidRPr="00BD4D02" w:rsidRDefault="00BD4D02" w:rsidP="00BD4D02">
            <w:pPr>
              <w:rPr>
                <w:sz w:val="20"/>
                <w:szCs w:val="20"/>
              </w:rPr>
            </w:pPr>
          </w:p>
        </w:tc>
        <w:tc>
          <w:tcPr>
            <w:tcW w:w="663" w:type="dxa"/>
            <w:shd w:val="clear" w:color="auto" w:fill="auto"/>
            <w:noWrap/>
            <w:vAlign w:val="bottom"/>
            <w:hideMark/>
          </w:tcPr>
          <w:p w14:paraId="0C249069" w14:textId="77777777" w:rsidR="00BD4D02" w:rsidRPr="00BD4D02" w:rsidRDefault="00BD4D02" w:rsidP="00BD4D02">
            <w:pPr>
              <w:rPr>
                <w:sz w:val="20"/>
                <w:szCs w:val="20"/>
              </w:rPr>
            </w:pPr>
          </w:p>
        </w:tc>
        <w:tc>
          <w:tcPr>
            <w:tcW w:w="663" w:type="dxa"/>
            <w:shd w:val="clear" w:color="auto" w:fill="auto"/>
            <w:noWrap/>
            <w:vAlign w:val="bottom"/>
            <w:hideMark/>
          </w:tcPr>
          <w:p w14:paraId="71C4B3A1" w14:textId="77777777" w:rsidR="00BD4D02" w:rsidRPr="00BD4D02" w:rsidRDefault="00BD4D02" w:rsidP="00BD4D02">
            <w:pPr>
              <w:rPr>
                <w:sz w:val="20"/>
                <w:szCs w:val="20"/>
              </w:rPr>
            </w:pPr>
          </w:p>
        </w:tc>
        <w:tc>
          <w:tcPr>
            <w:tcW w:w="663" w:type="dxa"/>
            <w:shd w:val="clear" w:color="auto" w:fill="auto"/>
            <w:noWrap/>
            <w:vAlign w:val="bottom"/>
            <w:hideMark/>
          </w:tcPr>
          <w:p w14:paraId="222C1D21" w14:textId="77777777" w:rsidR="00BD4D02" w:rsidRPr="00BD4D02" w:rsidRDefault="00BD4D02" w:rsidP="00BD4D02">
            <w:pPr>
              <w:rPr>
                <w:sz w:val="20"/>
                <w:szCs w:val="20"/>
              </w:rPr>
            </w:pPr>
          </w:p>
        </w:tc>
        <w:tc>
          <w:tcPr>
            <w:tcW w:w="663" w:type="dxa"/>
            <w:shd w:val="clear" w:color="auto" w:fill="auto"/>
            <w:noWrap/>
            <w:vAlign w:val="bottom"/>
            <w:hideMark/>
          </w:tcPr>
          <w:p w14:paraId="1166355C" w14:textId="77777777" w:rsidR="00BD4D02" w:rsidRPr="00BD4D02" w:rsidRDefault="00BD4D02" w:rsidP="00BD4D02">
            <w:pPr>
              <w:rPr>
                <w:sz w:val="20"/>
                <w:szCs w:val="20"/>
              </w:rPr>
            </w:pPr>
          </w:p>
        </w:tc>
        <w:tc>
          <w:tcPr>
            <w:tcW w:w="663" w:type="dxa"/>
            <w:shd w:val="clear" w:color="auto" w:fill="auto"/>
            <w:noWrap/>
            <w:vAlign w:val="bottom"/>
            <w:hideMark/>
          </w:tcPr>
          <w:p w14:paraId="1919D102" w14:textId="77777777" w:rsidR="00BD4D02" w:rsidRPr="00BD4D02" w:rsidRDefault="00BD4D02" w:rsidP="00BD4D02">
            <w:pPr>
              <w:rPr>
                <w:sz w:val="20"/>
                <w:szCs w:val="20"/>
              </w:rPr>
            </w:pPr>
          </w:p>
        </w:tc>
        <w:tc>
          <w:tcPr>
            <w:tcW w:w="663" w:type="dxa"/>
            <w:shd w:val="clear" w:color="auto" w:fill="auto"/>
            <w:noWrap/>
            <w:vAlign w:val="bottom"/>
            <w:hideMark/>
          </w:tcPr>
          <w:p w14:paraId="0E73F140" w14:textId="77777777" w:rsidR="00BD4D02" w:rsidRPr="00BD4D02" w:rsidRDefault="00BD4D02" w:rsidP="00BD4D02">
            <w:pPr>
              <w:rPr>
                <w:sz w:val="20"/>
                <w:szCs w:val="20"/>
              </w:rPr>
            </w:pPr>
          </w:p>
        </w:tc>
        <w:tc>
          <w:tcPr>
            <w:tcW w:w="663" w:type="dxa"/>
            <w:shd w:val="clear" w:color="auto" w:fill="auto"/>
            <w:noWrap/>
            <w:vAlign w:val="bottom"/>
            <w:hideMark/>
          </w:tcPr>
          <w:p w14:paraId="10FAEE95" w14:textId="77777777" w:rsidR="00BD4D02" w:rsidRPr="00BD4D02" w:rsidRDefault="00BD4D02" w:rsidP="00BD4D02">
            <w:pPr>
              <w:rPr>
                <w:sz w:val="20"/>
                <w:szCs w:val="20"/>
              </w:rPr>
            </w:pPr>
          </w:p>
        </w:tc>
        <w:tc>
          <w:tcPr>
            <w:tcW w:w="663" w:type="dxa"/>
            <w:shd w:val="clear" w:color="auto" w:fill="auto"/>
            <w:noWrap/>
            <w:vAlign w:val="bottom"/>
            <w:hideMark/>
          </w:tcPr>
          <w:p w14:paraId="059F84CD"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1180" w:type="dxa"/>
            <w:shd w:val="clear" w:color="auto" w:fill="auto"/>
            <w:noWrap/>
            <w:vAlign w:val="bottom"/>
            <w:hideMark/>
          </w:tcPr>
          <w:p w14:paraId="53B66890"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2DEF0A99" w14:textId="77777777" w:rsidTr="00050580">
        <w:trPr>
          <w:trHeight w:val="144"/>
        </w:trPr>
        <w:tc>
          <w:tcPr>
            <w:tcW w:w="4500" w:type="dxa"/>
            <w:shd w:val="clear" w:color="auto" w:fill="auto"/>
            <w:noWrap/>
            <w:vAlign w:val="bottom"/>
            <w:hideMark/>
          </w:tcPr>
          <w:p w14:paraId="13CADB19"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Official language minorities - radio</w:t>
            </w:r>
          </w:p>
        </w:tc>
        <w:tc>
          <w:tcPr>
            <w:tcW w:w="770" w:type="dxa"/>
            <w:shd w:val="clear" w:color="auto" w:fill="auto"/>
            <w:noWrap/>
            <w:vAlign w:val="bottom"/>
            <w:hideMark/>
          </w:tcPr>
          <w:p w14:paraId="6843FAAA"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12F42886" w14:textId="77777777" w:rsidR="00BD4D02" w:rsidRPr="00BD4D02" w:rsidRDefault="00BD4D02" w:rsidP="00BD4D02">
            <w:pPr>
              <w:rPr>
                <w:sz w:val="20"/>
                <w:szCs w:val="20"/>
              </w:rPr>
            </w:pPr>
          </w:p>
        </w:tc>
        <w:tc>
          <w:tcPr>
            <w:tcW w:w="663" w:type="dxa"/>
            <w:shd w:val="clear" w:color="auto" w:fill="auto"/>
            <w:noWrap/>
            <w:vAlign w:val="bottom"/>
            <w:hideMark/>
          </w:tcPr>
          <w:p w14:paraId="3BC34B36" w14:textId="77777777" w:rsidR="00BD4D02" w:rsidRPr="00BD4D02" w:rsidRDefault="00BD4D02" w:rsidP="00BD4D02">
            <w:pPr>
              <w:rPr>
                <w:sz w:val="20"/>
                <w:szCs w:val="20"/>
              </w:rPr>
            </w:pPr>
          </w:p>
        </w:tc>
        <w:tc>
          <w:tcPr>
            <w:tcW w:w="663" w:type="dxa"/>
            <w:shd w:val="clear" w:color="auto" w:fill="auto"/>
            <w:noWrap/>
            <w:vAlign w:val="bottom"/>
            <w:hideMark/>
          </w:tcPr>
          <w:p w14:paraId="4E2928BD" w14:textId="77777777" w:rsidR="00BD4D02" w:rsidRPr="00BD4D02" w:rsidRDefault="00BD4D02" w:rsidP="00BD4D02">
            <w:pPr>
              <w:rPr>
                <w:sz w:val="20"/>
                <w:szCs w:val="20"/>
              </w:rPr>
            </w:pPr>
          </w:p>
        </w:tc>
        <w:tc>
          <w:tcPr>
            <w:tcW w:w="663" w:type="dxa"/>
            <w:shd w:val="clear" w:color="auto" w:fill="auto"/>
            <w:noWrap/>
            <w:vAlign w:val="bottom"/>
            <w:hideMark/>
          </w:tcPr>
          <w:p w14:paraId="1C0CB780" w14:textId="77777777" w:rsidR="00BD4D02" w:rsidRPr="00BD4D02" w:rsidRDefault="00BD4D02" w:rsidP="00BD4D02">
            <w:pPr>
              <w:rPr>
                <w:sz w:val="20"/>
                <w:szCs w:val="20"/>
              </w:rPr>
            </w:pPr>
          </w:p>
        </w:tc>
        <w:tc>
          <w:tcPr>
            <w:tcW w:w="663" w:type="dxa"/>
            <w:shd w:val="clear" w:color="auto" w:fill="auto"/>
            <w:noWrap/>
            <w:vAlign w:val="bottom"/>
            <w:hideMark/>
          </w:tcPr>
          <w:p w14:paraId="2EE85F00" w14:textId="77777777" w:rsidR="00BD4D02" w:rsidRPr="00BD4D02" w:rsidRDefault="00BD4D02" w:rsidP="00BD4D02">
            <w:pPr>
              <w:rPr>
                <w:sz w:val="20"/>
                <w:szCs w:val="20"/>
              </w:rPr>
            </w:pPr>
          </w:p>
        </w:tc>
        <w:tc>
          <w:tcPr>
            <w:tcW w:w="663" w:type="dxa"/>
            <w:shd w:val="clear" w:color="auto" w:fill="auto"/>
            <w:noWrap/>
            <w:vAlign w:val="bottom"/>
            <w:hideMark/>
          </w:tcPr>
          <w:p w14:paraId="23915101" w14:textId="77777777" w:rsidR="00BD4D02" w:rsidRPr="00BD4D02" w:rsidRDefault="00BD4D02" w:rsidP="00BD4D02">
            <w:pPr>
              <w:rPr>
                <w:sz w:val="20"/>
                <w:szCs w:val="20"/>
              </w:rPr>
            </w:pPr>
          </w:p>
        </w:tc>
        <w:tc>
          <w:tcPr>
            <w:tcW w:w="663" w:type="dxa"/>
            <w:shd w:val="clear" w:color="auto" w:fill="auto"/>
            <w:noWrap/>
            <w:vAlign w:val="bottom"/>
            <w:hideMark/>
          </w:tcPr>
          <w:p w14:paraId="18DD4A37" w14:textId="77777777" w:rsidR="00BD4D02" w:rsidRPr="00BD4D02" w:rsidRDefault="00BD4D02" w:rsidP="00BD4D02">
            <w:pPr>
              <w:rPr>
                <w:sz w:val="20"/>
                <w:szCs w:val="20"/>
              </w:rPr>
            </w:pPr>
          </w:p>
        </w:tc>
        <w:tc>
          <w:tcPr>
            <w:tcW w:w="663" w:type="dxa"/>
            <w:shd w:val="clear" w:color="auto" w:fill="auto"/>
            <w:noWrap/>
            <w:vAlign w:val="bottom"/>
            <w:hideMark/>
          </w:tcPr>
          <w:p w14:paraId="7C74D1F4" w14:textId="77777777" w:rsidR="00BD4D02" w:rsidRPr="00BD4D02" w:rsidRDefault="00BD4D02" w:rsidP="00BD4D02">
            <w:pPr>
              <w:rPr>
                <w:sz w:val="20"/>
                <w:szCs w:val="20"/>
              </w:rPr>
            </w:pPr>
          </w:p>
        </w:tc>
        <w:tc>
          <w:tcPr>
            <w:tcW w:w="663" w:type="dxa"/>
            <w:shd w:val="clear" w:color="auto" w:fill="auto"/>
            <w:noWrap/>
            <w:vAlign w:val="bottom"/>
            <w:hideMark/>
          </w:tcPr>
          <w:p w14:paraId="28A783C4" w14:textId="77777777" w:rsidR="00BD4D02" w:rsidRPr="00BD4D02" w:rsidRDefault="00BD4D02" w:rsidP="00BD4D02">
            <w:pPr>
              <w:rPr>
                <w:sz w:val="20"/>
                <w:szCs w:val="20"/>
              </w:rPr>
            </w:pPr>
          </w:p>
        </w:tc>
        <w:tc>
          <w:tcPr>
            <w:tcW w:w="663" w:type="dxa"/>
            <w:shd w:val="clear" w:color="auto" w:fill="auto"/>
            <w:noWrap/>
            <w:vAlign w:val="bottom"/>
            <w:hideMark/>
          </w:tcPr>
          <w:p w14:paraId="3D76AF13" w14:textId="77777777" w:rsidR="00BD4D02" w:rsidRPr="00BD4D02" w:rsidRDefault="00BD4D02" w:rsidP="00BD4D02">
            <w:pPr>
              <w:rPr>
                <w:sz w:val="20"/>
                <w:szCs w:val="20"/>
              </w:rPr>
            </w:pPr>
          </w:p>
        </w:tc>
        <w:tc>
          <w:tcPr>
            <w:tcW w:w="663" w:type="dxa"/>
            <w:shd w:val="clear" w:color="auto" w:fill="auto"/>
            <w:noWrap/>
            <w:vAlign w:val="bottom"/>
            <w:hideMark/>
          </w:tcPr>
          <w:p w14:paraId="0D274093"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1180" w:type="dxa"/>
            <w:shd w:val="clear" w:color="auto" w:fill="auto"/>
            <w:noWrap/>
            <w:vAlign w:val="bottom"/>
            <w:hideMark/>
          </w:tcPr>
          <w:p w14:paraId="35E5049F"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1A9A7CE5" w14:textId="77777777" w:rsidTr="00050580">
        <w:trPr>
          <w:trHeight w:val="144"/>
        </w:trPr>
        <w:tc>
          <w:tcPr>
            <w:tcW w:w="4500" w:type="dxa"/>
            <w:shd w:val="clear" w:color="auto" w:fill="auto"/>
            <w:noWrap/>
            <w:vAlign w:val="bottom"/>
            <w:hideMark/>
          </w:tcPr>
          <w:p w14:paraId="46766A52"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Ownership</w:t>
            </w:r>
          </w:p>
        </w:tc>
        <w:tc>
          <w:tcPr>
            <w:tcW w:w="770" w:type="dxa"/>
            <w:shd w:val="clear" w:color="auto" w:fill="auto"/>
            <w:noWrap/>
            <w:vAlign w:val="bottom"/>
            <w:hideMark/>
          </w:tcPr>
          <w:p w14:paraId="47D9A45B"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0383055D"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54716D24"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1E74EC4D"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069A00DF"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5D2015A5"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32EB4258"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065CF6ED"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7</w:t>
            </w:r>
          </w:p>
        </w:tc>
        <w:tc>
          <w:tcPr>
            <w:tcW w:w="663" w:type="dxa"/>
            <w:shd w:val="clear" w:color="auto" w:fill="auto"/>
            <w:noWrap/>
            <w:vAlign w:val="bottom"/>
            <w:hideMark/>
          </w:tcPr>
          <w:p w14:paraId="3779841E"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7</w:t>
            </w:r>
          </w:p>
        </w:tc>
        <w:tc>
          <w:tcPr>
            <w:tcW w:w="663" w:type="dxa"/>
            <w:shd w:val="clear" w:color="auto" w:fill="auto"/>
            <w:noWrap/>
            <w:vAlign w:val="bottom"/>
            <w:hideMark/>
          </w:tcPr>
          <w:p w14:paraId="4BCE3835"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7</w:t>
            </w:r>
          </w:p>
        </w:tc>
        <w:tc>
          <w:tcPr>
            <w:tcW w:w="663" w:type="dxa"/>
            <w:shd w:val="clear" w:color="auto" w:fill="auto"/>
            <w:noWrap/>
            <w:vAlign w:val="bottom"/>
            <w:hideMark/>
          </w:tcPr>
          <w:p w14:paraId="414F23C4"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141C003B"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7</w:t>
            </w:r>
          </w:p>
        </w:tc>
        <w:tc>
          <w:tcPr>
            <w:tcW w:w="1180" w:type="dxa"/>
            <w:shd w:val="clear" w:color="auto" w:fill="auto"/>
            <w:noWrap/>
            <w:vAlign w:val="bottom"/>
            <w:hideMark/>
          </w:tcPr>
          <w:p w14:paraId="11418BBD"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37</w:t>
            </w:r>
          </w:p>
        </w:tc>
      </w:tr>
      <w:tr w:rsidR="00BD4D02" w:rsidRPr="00BD4D02" w14:paraId="07521371" w14:textId="77777777" w:rsidTr="00050580">
        <w:trPr>
          <w:trHeight w:val="144"/>
        </w:trPr>
        <w:tc>
          <w:tcPr>
            <w:tcW w:w="4500" w:type="dxa"/>
            <w:shd w:val="clear" w:color="auto" w:fill="auto"/>
            <w:noWrap/>
            <w:vAlign w:val="bottom"/>
            <w:hideMark/>
          </w:tcPr>
          <w:p w14:paraId="33B62F9D"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Ownership transaction - benefits</w:t>
            </w:r>
          </w:p>
        </w:tc>
        <w:tc>
          <w:tcPr>
            <w:tcW w:w="770" w:type="dxa"/>
            <w:shd w:val="clear" w:color="auto" w:fill="auto"/>
            <w:noWrap/>
            <w:vAlign w:val="bottom"/>
            <w:hideMark/>
          </w:tcPr>
          <w:p w14:paraId="6F4D6C6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0843B6FC"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28CF8AD6"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3D0DEA7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59E7BB74"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2A0F3925"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250FF86A"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70B9C848"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224560D4"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5AA0636E"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56135890"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3F3971D7"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1180" w:type="dxa"/>
            <w:shd w:val="clear" w:color="auto" w:fill="auto"/>
            <w:noWrap/>
            <w:vAlign w:val="bottom"/>
            <w:hideMark/>
          </w:tcPr>
          <w:p w14:paraId="19D123AB"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24</w:t>
            </w:r>
          </w:p>
        </w:tc>
      </w:tr>
      <w:tr w:rsidR="00BD4D02" w:rsidRPr="00BD4D02" w14:paraId="3D1ED480" w14:textId="77777777" w:rsidTr="00050580">
        <w:trPr>
          <w:trHeight w:val="144"/>
        </w:trPr>
        <w:tc>
          <w:tcPr>
            <w:tcW w:w="4500" w:type="dxa"/>
            <w:shd w:val="clear" w:color="auto" w:fill="auto"/>
            <w:noWrap/>
            <w:vAlign w:val="bottom"/>
            <w:hideMark/>
          </w:tcPr>
          <w:p w14:paraId="72C091FE"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Performance indicators</w:t>
            </w:r>
          </w:p>
        </w:tc>
        <w:tc>
          <w:tcPr>
            <w:tcW w:w="770" w:type="dxa"/>
            <w:shd w:val="clear" w:color="auto" w:fill="auto"/>
            <w:noWrap/>
            <w:vAlign w:val="bottom"/>
            <w:hideMark/>
          </w:tcPr>
          <w:p w14:paraId="60ADA319"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0056F098"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2258AA06"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3E7F6180" w14:textId="77777777" w:rsidR="00BD4D02" w:rsidRPr="00BD4D02" w:rsidRDefault="00BD4D02" w:rsidP="00BD4D02">
            <w:pPr>
              <w:rPr>
                <w:sz w:val="20"/>
                <w:szCs w:val="20"/>
              </w:rPr>
            </w:pPr>
          </w:p>
        </w:tc>
        <w:tc>
          <w:tcPr>
            <w:tcW w:w="663" w:type="dxa"/>
            <w:shd w:val="clear" w:color="auto" w:fill="auto"/>
            <w:noWrap/>
            <w:vAlign w:val="bottom"/>
            <w:hideMark/>
          </w:tcPr>
          <w:p w14:paraId="37CC5201" w14:textId="77777777" w:rsidR="00BD4D02" w:rsidRPr="00BD4D02" w:rsidRDefault="00BD4D02" w:rsidP="00BD4D02">
            <w:pPr>
              <w:rPr>
                <w:sz w:val="20"/>
                <w:szCs w:val="20"/>
              </w:rPr>
            </w:pPr>
          </w:p>
        </w:tc>
        <w:tc>
          <w:tcPr>
            <w:tcW w:w="663" w:type="dxa"/>
            <w:shd w:val="clear" w:color="auto" w:fill="auto"/>
            <w:noWrap/>
            <w:vAlign w:val="bottom"/>
            <w:hideMark/>
          </w:tcPr>
          <w:p w14:paraId="3472B66C"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2FCD20B5"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6B6C809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4</w:t>
            </w:r>
          </w:p>
        </w:tc>
        <w:tc>
          <w:tcPr>
            <w:tcW w:w="663" w:type="dxa"/>
            <w:shd w:val="clear" w:color="auto" w:fill="auto"/>
            <w:noWrap/>
            <w:vAlign w:val="bottom"/>
            <w:hideMark/>
          </w:tcPr>
          <w:p w14:paraId="3C8D1916"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0C0835BD" w14:textId="77777777" w:rsidR="00BD4D02" w:rsidRPr="00BD4D02" w:rsidRDefault="00BD4D02" w:rsidP="00BD4D02">
            <w:pPr>
              <w:rPr>
                <w:sz w:val="20"/>
                <w:szCs w:val="20"/>
              </w:rPr>
            </w:pPr>
          </w:p>
        </w:tc>
        <w:tc>
          <w:tcPr>
            <w:tcW w:w="663" w:type="dxa"/>
            <w:shd w:val="clear" w:color="auto" w:fill="auto"/>
            <w:noWrap/>
            <w:vAlign w:val="bottom"/>
            <w:hideMark/>
          </w:tcPr>
          <w:p w14:paraId="320257D9" w14:textId="77777777" w:rsidR="00BD4D02" w:rsidRPr="00BD4D02" w:rsidRDefault="00BD4D02" w:rsidP="00BD4D02">
            <w:pPr>
              <w:rPr>
                <w:sz w:val="20"/>
                <w:szCs w:val="20"/>
              </w:rPr>
            </w:pPr>
          </w:p>
        </w:tc>
        <w:tc>
          <w:tcPr>
            <w:tcW w:w="663" w:type="dxa"/>
            <w:shd w:val="clear" w:color="auto" w:fill="auto"/>
            <w:noWrap/>
            <w:vAlign w:val="bottom"/>
            <w:hideMark/>
          </w:tcPr>
          <w:p w14:paraId="1EF0DE8D" w14:textId="77777777" w:rsidR="00BD4D02" w:rsidRPr="00BD4D02" w:rsidRDefault="00BD4D02" w:rsidP="00BD4D02">
            <w:pPr>
              <w:rPr>
                <w:sz w:val="20"/>
                <w:szCs w:val="20"/>
              </w:rPr>
            </w:pPr>
          </w:p>
        </w:tc>
        <w:tc>
          <w:tcPr>
            <w:tcW w:w="1180" w:type="dxa"/>
            <w:shd w:val="clear" w:color="auto" w:fill="auto"/>
            <w:noWrap/>
            <w:vAlign w:val="bottom"/>
            <w:hideMark/>
          </w:tcPr>
          <w:p w14:paraId="19967BFA"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8</w:t>
            </w:r>
          </w:p>
        </w:tc>
      </w:tr>
      <w:tr w:rsidR="00BD4D02" w:rsidRPr="00BD4D02" w14:paraId="498C2E6F" w14:textId="77777777" w:rsidTr="00050580">
        <w:trPr>
          <w:trHeight w:val="144"/>
        </w:trPr>
        <w:tc>
          <w:tcPr>
            <w:tcW w:w="4500" w:type="dxa"/>
            <w:shd w:val="clear" w:color="auto" w:fill="auto"/>
            <w:noWrap/>
            <w:vAlign w:val="bottom"/>
            <w:hideMark/>
          </w:tcPr>
          <w:p w14:paraId="62CB128E"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Radio</w:t>
            </w:r>
          </w:p>
        </w:tc>
        <w:tc>
          <w:tcPr>
            <w:tcW w:w="770" w:type="dxa"/>
            <w:shd w:val="clear" w:color="auto" w:fill="auto"/>
            <w:noWrap/>
            <w:vAlign w:val="bottom"/>
            <w:hideMark/>
          </w:tcPr>
          <w:p w14:paraId="2393CC8C"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781ACD1B"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373B722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7E96366C"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63B2D6A7"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5EE1A39A"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114E2A1B"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7EB21B81"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11D631EE" w14:textId="77777777" w:rsidR="00BD4D02" w:rsidRPr="00BD4D02" w:rsidRDefault="00BD4D02" w:rsidP="00BD4D02">
            <w:pPr>
              <w:rPr>
                <w:sz w:val="20"/>
                <w:szCs w:val="20"/>
              </w:rPr>
            </w:pPr>
          </w:p>
        </w:tc>
        <w:tc>
          <w:tcPr>
            <w:tcW w:w="663" w:type="dxa"/>
            <w:shd w:val="clear" w:color="auto" w:fill="auto"/>
            <w:noWrap/>
            <w:vAlign w:val="bottom"/>
            <w:hideMark/>
          </w:tcPr>
          <w:p w14:paraId="614639EC" w14:textId="77777777" w:rsidR="00BD4D02" w:rsidRPr="00BD4D02" w:rsidRDefault="00BD4D02" w:rsidP="00BD4D02">
            <w:pPr>
              <w:rPr>
                <w:sz w:val="20"/>
                <w:szCs w:val="20"/>
              </w:rPr>
            </w:pPr>
          </w:p>
        </w:tc>
        <w:tc>
          <w:tcPr>
            <w:tcW w:w="663" w:type="dxa"/>
            <w:shd w:val="clear" w:color="auto" w:fill="auto"/>
            <w:noWrap/>
            <w:vAlign w:val="bottom"/>
            <w:hideMark/>
          </w:tcPr>
          <w:p w14:paraId="5E28F0FE" w14:textId="77777777" w:rsidR="00BD4D02" w:rsidRPr="00BD4D02" w:rsidRDefault="00BD4D02" w:rsidP="00BD4D02">
            <w:pPr>
              <w:rPr>
                <w:sz w:val="20"/>
                <w:szCs w:val="20"/>
              </w:rPr>
            </w:pPr>
          </w:p>
        </w:tc>
        <w:tc>
          <w:tcPr>
            <w:tcW w:w="663" w:type="dxa"/>
            <w:shd w:val="clear" w:color="auto" w:fill="auto"/>
            <w:noWrap/>
            <w:vAlign w:val="bottom"/>
            <w:hideMark/>
          </w:tcPr>
          <w:p w14:paraId="63B22D7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w:t>
            </w:r>
          </w:p>
        </w:tc>
        <w:tc>
          <w:tcPr>
            <w:tcW w:w="1180" w:type="dxa"/>
            <w:shd w:val="clear" w:color="auto" w:fill="auto"/>
            <w:noWrap/>
            <w:vAlign w:val="bottom"/>
            <w:hideMark/>
          </w:tcPr>
          <w:p w14:paraId="45863AD7"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9</w:t>
            </w:r>
          </w:p>
        </w:tc>
      </w:tr>
      <w:tr w:rsidR="00BD4D02" w:rsidRPr="00BD4D02" w14:paraId="61A174B5" w14:textId="77777777" w:rsidTr="00050580">
        <w:trPr>
          <w:trHeight w:val="144"/>
        </w:trPr>
        <w:tc>
          <w:tcPr>
            <w:tcW w:w="4500" w:type="dxa"/>
            <w:shd w:val="clear" w:color="auto" w:fill="auto"/>
            <w:noWrap/>
            <w:vAlign w:val="bottom"/>
            <w:hideMark/>
          </w:tcPr>
          <w:p w14:paraId="21DE3A7C"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Radio stations authorized</w:t>
            </w:r>
          </w:p>
        </w:tc>
        <w:tc>
          <w:tcPr>
            <w:tcW w:w="770" w:type="dxa"/>
            <w:shd w:val="clear" w:color="auto" w:fill="auto"/>
            <w:noWrap/>
            <w:vAlign w:val="bottom"/>
            <w:hideMark/>
          </w:tcPr>
          <w:p w14:paraId="65765893"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0830DBB8"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5569CCED"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56E78AF2"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0BCA4082"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69195F7D"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0D713B52"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4BFD6466"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53016BF4"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789753BE"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607493A3"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7350B88B"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1180" w:type="dxa"/>
            <w:shd w:val="clear" w:color="auto" w:fill="auto"/>
            <w:noWrap/>
            <w:vAlign w:val="bottom"/>
            <w:hideMark/>
          </w:tcPr>
          <w:p w14:paraId="7AC48EA6"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13</w:t>
            </w:r>
          </w:p>
        </w:tc>
      </w:tr>
      <w:tr w:rsidR="00BD4D02" w:rsidRPr="00BD4D02" w14:paraId="20CFCA8B" w14:textId="77777777" w:rsidTr="00050580">
        <w:trPr>
          <w:trHeight w:val="144"/>
        </w:trPr>
        <w:tc>
          <w:tcPr>
            <w:tcW w:w="4500" w:type="dxa"/>
            <w:shd w:val="clear" w:color="auto" w:fill="auto"/>
            <w:noWrap/>
            <w:vAlign w:val="bottom"/>
            <w:hideMark/>
          </w:tcPr>
          <w:p w14:paraId="0A072E15"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Station formats</w:t>
            </w:r>
          </w:p>
        </w:tc>
        <w:tc>
          <w:tcPr>
            <w:tcW w:w="770" w:type="dxa"/>
            <w:shd w:val="clear" w:color="auto" w:fill="auto"/>
            <w:noWrap/>
            <w:vAlign w:val="bottom"/>
            <w:hideMark/>
          </w:tcPr>
          <w:p w14:paraId="507F8570"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472F012A"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714C7C2D"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1E44B4F9" w14:textId="77777777" w:rsidR="00BD4D02" w:rsidRPr="00BD4D02" w:rsidRDefault="00BD4D02" w:rsidP="00BD4D02">
            <w:pPr>
              <w:rPr>
                <w:sz w:val="20"/>
                <w:szCs w:val="20"/>
              </w:rPr>
            </w:pPr>
          </w:p>
        </w:tc>
        <w:tc>
          <w:tcPr>
            <w:tcW w:w="663" w:type="dxa"/>
            <w:shd w:val="clear" w:color="auto" w:fill="auto"/>
            <w:noWrap/>
            <w:vAlign w:val="bottom"/>
            <w:hideMark/>
          </w:tcPr>
          <w:p w14:paraId="4CDF7A37" w14:textId="77777777" w:rsidR="00BD4D02" w:rsidRPr="00BD4D02" w:rsidRDefault="00BD4D02" w:rsidP="00BD4D02">
            <w:pPr>
              <w:rPr>
                <w:sz w:val="20"/>
                <w:szCs w:val="20"/>
              </w:rPr>
            </w:pPr>
          </w:p>
        </w:tc>
        <w:tc>
          <w:tcPr>
            <w:tcW w:w="663" w:type="dxa"/>
            <w:shd w:val="clear" w:color="auto" w:fill="auto"/>
            <w:noWrap/>
            <w:vAlign w:val="bottom"/>
            <w:hideMark/>
          </w:tcPr>
          <w:p w14:paraId="34606DF1" w14:textId="77777777" w:rsidR="00BD4D02" w:rsidRPr="00BD4D02" w:rsidRDefault="00BD4D02" w:rsidP="00BD4D02">
            <w:pPr>
              <w:rPr>
                <w:sz w:val="20"/>
                <w:szCs w:val="20"/>
              </w:rPr>
            </w:pPr>
          </w:p>
        </w:tc>
        <w:tc>
          <w:tcPr>
            <w:tcW w:w="663" w:type="dxa"/>
            <w:shd w:val="clear" w:color="auto" w:fill="auto"/>
            <w:noWrap/>
            <w:vAlign w:val="bottom"/>
            <w:hideMark/>
          </w:tcPr>
          <w:p w14:paraId="726687D8" w14:textId="77777777" w:rsidR="00BD4D02" w:rsidRPr="00BD4D02" w:rsidRDefault="00BD4D02" w:rsidP="00BD4D02">
            <w:pPr>
              <w:rPr>
                <w:sz w:val="20"/>
                <w:szCs w:val="20"/>
              </w:rPr>
            </w:pPr>
          </w:p>
        </w:tc>
        <w:tc>
          <w:tcPr>
            <w:tcW w:w="663" w:type="dxa"/>
            <w:shd w:val="clear" w:color="auto" w:fill="auto"/>
            <w:noWrap/>
            <w:vAlign w:val="bottom"/>
            <w:hideMark/>
          </w:tcPr>
          <w:p w14:paraId="62766CBE" w14:textId="77777777" w:rsidR="00BD4D02" w:rsidRPr="00BD4D02" w:rsidRDefault="00BD4D02" w:rsidP="00BD4D02">
            <w:pPr>
              <w:rPr>
                <w:sz w:val="20"/>
                <w:szCs w:val="20"/>
              </w:rPr>
            </w:pPr>
          </w:p>
        </w:tc>
        <w:tc>
          <w:tcPr>
            <w:tcW w:w="663" w:type="dxa"/>
            <w:shd w:val="clear" w:color="auto" w:fill="auto"/>
            <w:noWrap/>
            <w:vAlign w:val="bottom"/>
            <w:hideMark/>
          </w:tcPr>
          <w:p w14:paraId="743697DA" w14:textId="77777777" w:rsidR="00BD4D02" w:rsidRPr="00BD4D02" w:rsidRDefault="00BD4D02" w:rsidP="00BD4D02">
            <w:pPr>
              <w:rPr>
                <w:sz w:val="20"/>
                <w:szCs w:val="20"/>
              </w:rPr>
            </w:pPr>
          </w:p>
        </w:tc>
        <w:tc>
          <w:tcPr>
            <w:tcW w:w="663" w:type="dxa"/>
            <w:shd w:val="clear" w:color="auto" w:fill="auto"/>
            <w:noWrap/>
            <w:vAlign w:val="bottom"/>
            <w:hideMark/>
          </w:tcPr>
          <w:p w14:paraId="6D6C766F" w14:textId="77777777" w:rsidR="00BD4D02" w:rsidRPr="00BD4D02" w:rsidRDefault="00BD4D02" w:rsidP="00BD4D02">
            <w:pPr>
              <w:rPr>
                <w:sz w:val="20"/>
                <w:szCs w:val="20"/>
              </w:rPr>
            </w:pPr>
          </w:p>
        </w:tc>
        <w:tc>
          <w:tcPr>
            <w:tcW w:w="663" w:type="dxa"/>
            <w:shd w:val="clear" w:color="auto" w:fill="auto"/>
            <w:noWrap/>
            <w:vAlign w:val="bottom"/>
            <w:hideMark/>
          </w:tcPr>
          <w:p w14:paraId="7508846B" w14:textId="77777777" w:rsidR="00BD4D02" w:rsidRPr="00BD4D02" w:rsidRDefault="00BD4D02" w:rsidP="00BD4D02">
            <w:pPr>
              <w:rPr>
                <w:sz w:val="20"/>
                <w:szCs w:val="20"/>
              </w:rPr>
            </w:pPr>
          </w:p>
        </w:tc>
        <w:tc>
          <w:tcPr>
            <w:tcW w:w="663" w:type="dxa"/>
            <w:shd w:val="clear" w:color="auto" w:fill="auto"/>
            <w:noWrap/>
            <w:vAlign w:val="bottom"/>
            <w:hideMark/>
          </w:tcPr>
          <w:p w14:paraId="62CD0610" w14:textId="77777777" w:rsidR="00BD4D02" w:rsidRPr="00BD4D02" w:rsidRDefault="00BD4D02" w:rsidP="00BD4D02">
            <w:pPr>
              <w:rPr>
                <w:sz w:val="20"/>
                <w:szCs w:val="20"/>
              </w:rPr>
            </w:pPr>
          </w:p>
        </w:tc>
        <w:tc>
          <w:tcPr>
            <w:tcW w:w="1180" w:type="dxa"/>
            <w:shd w:val="clear" w:color="auto" w:fill="auto"/>
            <w:noWrap/>
            <w:vAlign w:val="bottom"/>
            <w:hideMark/>
          </w:tcPr>
          <w:p w14:paraId="6E6E842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4</w:t>
            </w:r>
          </w:p>
        </w:tc>
      </w:tr>
      <w:tr w:rsidR="00BD4D02" w:rsidRPr="00BD4D02" w14:paraId="557D5FD9" w14:textId="77777777" w:rsidTr="00050580">
        <w:trPr>
          <w:trHeight w:val="144"/>
        </w:trPr>
        <w:tc>
          <w:tcPr>
            <w:tcW w:w="4500" w:type="dxa"/>
            <w:shd w:val="clear" w:color="auto" w:fill="auto"/>
            <w:noWrap/>
            <w:vAlign w:val="bottom"/>
            <w:hideMark/>
          </w:tcPr>
          <w:p w14:paraId="5E9A0758"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Subscriptions - BDUs</w:t>
            </w:r>
          </w:p>
        </w:tc>
        <w:tc>
          <w:tcPr>
            <w:tcW w:w="770" w:type="dxa"/>
            <w:shd w:val="clear" w:color="auto" w:fill="auto"/>
            <w:noWrap/>
            <w:vAlign w:val="bottom"/>
            <w:hideMark/>
          </w:tcPr>
          <w:p w14:paraId="5618946F"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08033B85" w14:textId="77777777" w:rsidR="00BD4D02" w:rsidRPr="00BD4D02" w:rsidRDefault="00BD4D02" w:rsidP="00BD4D02">
            <w:pPr>
              <w:rPr>
                <w:sz w:val="20"/>
                <w:szCs w:val="20"/>
              </w:rPr>
            </w:pPr>
          </w:p>
        </w:tc>
        <w:tc>
          <w:tcPr>
            <w:tcW w:w="663" w:type="dxa"/>
            <w:shd w:val="clear" w:color="auto" w:fill="auto"/>
            <w:noWrap/>
            <w:vAlign w:val="bottom"/>
            <w:hideMark/>
          </w:tcPr>
          <w:p w14:paraId="7F0F24F2" w14:textId="77777777" w:rsidR="00BD4D02" w:rsidRPr="00BD4D02" w:rsidRDefault="00BD4D02" w:rsidP="00BD4D02">
            <w:pPr>
              <w:rPr>
                <w:sz w:val="20"/>
                <w:szCs w:val="20"/>
              </w:rPr>
            </w:pPr>
          </w:p>
        </w:tc>
        <w:tc>
          <w:tcPr>
            <w:tcW w:w="663" w:type="dxa"/>
            <w:shd w:val="clear" w:color="auto" w:fill="auto"/>
            <w:noWrap/>
            <w:vAlign w:val="bottom"/>
            <w:hideMark/>
          </w:tcPr>
          <w:p w14:paraId="03094AA2" w14:textId="77777777" w:rsidR="00BD4D02" w:rsidRPr="00BD4D02" w:rsidRDefault="00BD4D02" w:rsidP="00BD4D02">
            <w:pPr>
              <w:rPr>
                <w:sz w:val="20"/>
                <w:szCs w:val="20"/>
              </w:rPr>
            </w:pPr>
          </w:p>
        </w:tc>
        <w:tc>
          <w:tcPr>
            <w:tcW w:w="663" w:type="dxa"/>
            <w:shd w:val="clear" w:color="auto" w:fill="auto"/>
            <w:noWrap/>
            <w:vAlign w:val="bottom"/>
            <w:hideMark/>
          </w:tcPr>
          <w:p w14:paraId="1680DFED" w14:textId="77777777" w:rsidR="00BD4D02" w:rsidRPr="00BD4D02" w:rsidRDefault="00BD4D02" w:rsidP="00BD4D02">
            <w:pPr>
              <w:rPr>
                <w:sz w:val="20"/>
                <w:szCs w:val="20"/>
              </w:rPr>
            </w:pPr>
          </w:p>
        </w:tc>
        <w:tc>
          <w:tcPr>
            <w:tcW w:w="663" w:type="dxa"/>
            <w:shd w:val="clear" w:color="auto" w:fill="auto"/>
            <w:noWrap/>
            <w:vAlign w:val="bottom"/>
            <w:hideMark/>
          </w:tcPr>
          <w:p w14:paraId="691B4DFB" w14:textId="77777777" w:rsidR="00BD4D02" w:rsidRPr="00BD4D02" w:rsidRDefault="00BD4D02" w:rsidP="00BD4D02">
            <w:pPr>
              <w:rPr>
                <w:sz w:val="20"/>
                <w:szCs w:val="20"/>
              </w:rPr>
            </w:pPr>
          </w:p>
        </w:tc>
        <w:tc>
          <w:tcPr>
            <w:tcW w:w="663" w:type="dxa"/>
            <w:shd w:val="clear" w:color="auto" w:fill="auto"/>
            <w:noWrap/>
            <w:vAlign w:val="bottom"/>
            <w:hideMark/>
          </w:tcPr>
          <w:p w14:paraId="578B8095" w14:textId="77777777" w:rsidR="00BD4D02" w:rsidRPr="00BD4D02" w:rsidRDefault="00BD4D02" w:rsidP="00BD4D02">
            <w:pPr>
              <w:rPr>
                <w:sz w:val="20"/>
                <w:szCs w:val="20"/>
              </w:rPr>
            </w:pPr>
          </w:p>
        </w:tc>
        <w:tc>
          <w:tcPr>
            <w:tcW w:w="663" w:type="dxa"/>
            <w:shd w:val="clear" w:color="auto" w:fill="auto"/>
            <w:noWrap/>
            <w:vAlign w:val="bottom"/>
            <w:hideMark/>
          </w:tcPr>
          <w:p w14:paraId="1DD0AB46" w14:textId="77777777" w:rsidR="00BD4D02" w:rsidRPr="00BD4D02" w:rsidRDefault="00BD4D02" w:rsidP="00BD4D02">
            <w:pPr>
              <w:rPr>
                <w:sz w:val="20"/>
                <w:szCs w:val="20"/>
              </w:rPr>
            </w:pPr>
          </w:p>
        </w:tc>
        <w:tc>
          <w:tcPr>
            <w:tcW w:w="663" w:type="dxa"/>
            <w:shd w:val="clear" w:color="auto" w:fill="auto"/>
            <w:noWrap/>
            <w:vAlign w:val="bottom"/>
            <w:hideMark/>
          </w:tcPr>
          <w:p w14:paraId="6947596B"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713E5887"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7FD71A24"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7A12D4E1" w14:textId="77777777" w:rsidR="00BD4D02" w:rsidRPr="00BD4D02" w:rsidRDefault="00BD4D02" w:rsidP="00BD4D02">
            <w:pPr>
              <w:rPr>
                <w:sz w:val="20"/>
                <w:szCs w:val="20"/>
              </w:rPr>
            </w:pPr>
          </w:p>
        </w:tc>
        <w:tc>
          <w:tcPr>
            <w:tcW w:w="1180" w:type="dxa"/>
            <w:shd w:val="clear" w:color="auto" w:fill="auto"/>
            <w:noWrap/>
            <w:vAlign w:val="bottom"/>
            <w:hideMark/>
          </w:tcPr>
          <w:p w14:paraId="3F7DBB0B"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r>
      <w:tr w:rsidR="00BD4D02" w:rsidRPr="00BD4D02" w14:paraId="5AEE56F0" w14:textId="77777777" w:rsidTr="00050580">
        <w:trPr>
          <w:trHeight w:val="144"/>
        </w:trPr>
        <w:tc>
          <w:tcPr>
            <w:tcW w:w="4500" w:type="dxa"/>
            <w:shd w:val="clear" w:color="auto" w:fill="auto"/>
            <w:noWrap/>
            <w:vAlign w:val="bottom"/>
            <w:hideMark/>
          </w:tcPr>
          <w:p w14:paraId="45D2F347"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Television</w:t>
            </w:r>
          </w:p>
        </w:tc>
        <w:tc>
          <w:tcPr>
            <w:tcW w:w="770" w:type="dxa"/>
            <w:shd w:val="clear" w:color="auto" w:fill="auto"/>
            <w:noWrap/>
            <w:vAlign w:val="bottom"/>
            <w:hideMark/>
          </w:tcPr>
          <w:p w14:paraId="48CBD6C4"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4EFAED3A" w14:textId="77777777" w:rsidR="00BD4D02" w:rsidRPr="00BD4D02" w:rsidRDefault="00BD4D02" w:rsidP="00BD4D02">
            <w:pPr>
              <w:rPr>
                <w:sz w:val="20"/>
                <w:szCs w:val="20"/>
              </w:rPr>
            </w:pPr>
          </w:p>
        </w:tc>
        <w:tc>
          <w:tcPr>
            <w:tcW w:w="663" w:type="dxa"/>
            <w:shd w:val="clear" w:color="auto" w:fill="auto"/>
            <w:noWrap/>
            <w:vAlign w:val="bottom"/>
            <w:hideMark/>
          </w:tcPr>
          <w:p w14:paraId="0B6BA39D"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3B7073D6"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64189C40"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1F2F3658"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7144817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4</w:t>
            </w:r>
          </w:p>
        </w:tc>
        <w:tc>
          <w:tcPr>
            <w:tcW w:w="663" w:type="dxa"/>
            <w:shd w:val="clear" w:color="auto" w:fill="auto"/>
            <w:noWrap/>
            <w:vAlign w:val="bottom"/>
            <w:hideMark/>
          </w:tcPr>
          <w:p w14:paraId="6C26C415"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263D5989" w14:textId="77777777" w:rsidR="00BD4D02" w:rsidRPr="00BD4D02" w:rsidRDefault="00BD4D02" w:rsidP="00BD4D02">
            <w:pPr>
              <w:rPr>
                <w:sz w:val="20"/>
                <w:szCs w:val="20"/>
              </w:rPr>
            </w:pPr>
          </w:p>
        </w:tc>
        <w:tc>
          <w:tcPr>
            <w:tcW w:w="663" w:type="dxa"/>
            <w:shd w:val="clear" w:color="auto" w:fill="auto"/>
            <w:noWrap/>
            <w:vAlign w:val="bottom"/>
            <w:hideMark/>
          </w:tcPr>
          <w:p w14:paraId="1AA092A5" w14:textId="77777777" w:rsidR="00BD4D02" w:rsidRPr="00BD4D02" w:rsidRDefault="00BD4D02" w:rsidP="00BD4D02">
            <w:pPr>
              <w:rPr>
                <w:sz w:val="20"/>
                <w:szCs w:val="20"/>
              </w:rPr>
            </w:pPr>
          </w:p>
        </w:tc>
        <w:tc>
          <w:tcPr>
            <w:tcW w:w="663" w:type="dxa"/>
            <w:shd w:val="clear" w:color="auto" w:fill="auto"/>
            <w:noWrap/>
            <w:vAlign w:val="bottom"/>
            <w:hideMark/>
          </w:tcPr>
          <w:p w14:paraId="1D268E6C" w14:textId="77777777" w:rsidR="00BD4D02" w:rsidRPr="00BD4D02" w:rsidRDefault="00BD4D02" w:rsidP="00BD4D02">
            <w:pPr>
              <w:rPr>
                <w:sz w:val="20"/>
                <w:szCs w:val="20"/>
              </w:rPr>
            </w:pPr>
          </w:p>
        </w:tc>
        <w:tc>
          <w:tcPr>
            <w:tcW w:w="663" w:type="dxa"/>
            <w:shd w:val="clear" w:color="auto" w:fill="auto"/>
            <w:noWrap/>
            <w:vAlign w:val="bottom"/>
            <w:hideMark/>
          </w:tcPr>
          <w:p w14:paraId="6B328DD6"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1180" w:type="dxa"/>
            <w:shd w:val="clear" w:color="auto" w:fill="auto"/>
            <w:noWrap/>
            <w:vAlign w:val="bottom"/>
            <w:hideMark/>
          </w:tcPr>
          <w:p w14:paraId="0D784B53"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11</w:t>
            </w:r>
          </w:p>
        </w:tc>
      </w:tr>
      <w:tr w:rsidR="00BD4D02" w:rsidRPr="00BD4D02" w14:paraId="644EB58F" w14:textId="77777777" w:rsidTr="00050580">
        <w:trPr>
          <w:trHeight w:val="144"/>
        </w:trPr>
        <w:tc>
          <w:tcPr>
            <w:tcW w:w="4500" w:type="dxa"/>
            <w:shd w:val="clear" w:color="auto" w:fill="auto"/>
            <w:noWrap/>
            <w:vAlign w:val="bottom"/>
            <w:hideMark/>
          </w:tcPr>
          <w:p w14:paraId="048A2057"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TV - discretionary</w:t>
            </w:r>
          </w:p>
        </w:tc>
        <w:tc>
          <w:tcPr>
            <w:tcW w:w="770" w:type="dxa"/>
            <w:shd w:val="clear" w:color="auto" w:fill="auto"/>
            <w:noWrap/>
            <w:vAlign w:val="bottom"/>
            <w:hideMark/>
          </w:tcPr>
          <w:p w14:paraId="42075357"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2E15111D" w14:textId="77777777" w:rsidR="00BD4D02" w:rsidRPr="00BD4D02" w:rsidRDefault="00BD4D02" w:rsidP="00BD4D02">
            <w:pPr>
              <w:rPr>
                <w:sz w:val="20"/>
                <w:szCs w:val="20"/>
              </w:rPr>
            </w:pPr>
          </w:p>
        </w:tc>
        <w:tc>
          <w:tcPr>
            <w:tcW w:w="663" w:type="dxa"/>
            <w:shd w:val="clear" w:color="auto" w:fill="auto"/>
            <w:noWrap/>
            <w:vAlign w:val="bottom"/>
            <w:hideMark/>
          </w:tcPr>
          <w:p w14:paraId="793E5D93" w14:textId="77777777" w:rsidR="00BD4D02" w:rsidRPr="00BD4D02" w:rsidRDefault="00BD4D02" w:rsidP="00BD4D02">
            <w:pPr>
              <w:rPr>
                <w:sz w:val="20"/>
                <w:szCs w:val="20"/>
              </w:rPr>
            </w:pPr>
          </w:p>
        </w:tc>
        <w:tc>
          <w:tcPr>
            <w:tcW w:w="663" w:type="dxa"/>
            <w:shd w:val="clear" w:color="auto" w:fill="auto"/>
            <w:noWrap/>
            <w:vAlign w:val="bottom"/>
            <w:hideMark/>
          </w:tcPr>
          <w:p w14:paraId="6898BAA6" w14:textId="77777777" w:rsidR="00BD4D02" w:rsidRPr="00BD4D02" w:rsidRDefault="00BD4D02" w:rsidP="00BD4D02">
            <w:pPr>
              <w:rPr>
                <w:sz w:val="20"/>
                <w:szCs w:val="20"/>
              </w:rPr>
            </w:pPr>
          </w:p>
        </w:tc>
        <w:tc>
          <w:tcPr>
            <w:tcW w:w="663" w:type="dxa"/>
            <w:shd w:val="clear" w:color="auto" w:fill="auto"/>
            <w:noWrap/>
            <w:vAlign w:val="bottom"/>
            <w:hideMark/>
          </w:tcPr>
          <w:p w14:paraId="463D6206"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3BE6535A"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0E186F00" w14:textId="77777777" w:rsidR="00BD4D02" w:rsidRPr="00BD4D02" w:rsidRDefault="00BD4D02" w:rsidP="00BD4D02">
            <w:pPr>
              <w:rPr>
                <w:sz w:val="20"/>
                <w:szCs w:val="20"/>
              </w:rPr>
            </w:pPr>
          </w:p>
        </w:tc>
        <w:tc>
          <w:tcPr>
            <w:tcW w:w="663" w:type="dxa"/>
            <w:shd w:val="clear" w:color="auto" w:fill="auto"/>
            <w:noWrap/>
            <w:vAlign w:val="bottom"/>
            <w:hideMark/>
          </w:tcPr>
          <w:p w14:paraId="5A671B88" w14:textId="77777777" w:rsidR="00BD4D02" w:rsidRPr="00BD4D02" w:rsidRDefault="00BD4D02" w:rsidP="00BD4D02">
            <w:pPr>
              <w:rPr>
                <w:sz w:val="20"/>
                <w:szCs w:val="20"/>
              </w:rPr>
            </w:pPr>
          </w:p>
        </w:tc>
        <w:tc>
          <w:tcPr>
            <w:tcW w:w="663" w:type="dxa"/>
            <w:shd w:val="clear" w:color="auto" w:fill="auto"/>
            <w:noWrap/>
            <w:vAlign w:val="bottom"/>
            <w:hideMark/>
          </w:tcPr>
          <w:p w14:paraId="409803A7" w14:textId="77777777" w:rsidR="00BD4D02" w:rsidRPr="00BD4D02" w:rsidRDefault="00BD4D02" w:rsidP="00BD4D02">
            <w:pPr>
              <w:rPr>
                <w:sz w:val="20"/>
                <w:szCs w:val="20"/>
              </w:rPr>
            </w:pPr>
          </w:p>
        </w:tc>
        <w:tc>
          <w:tcPr>
            <w:tcW w:w="663" w:type="dxa"/>
            <w:shd w:val="clear" w:color="auto" w:fill="auto"/>
            <w:noWrap/>
            <w:vAlign w:val="bottom"/>
            <w:hideMark/>
          </w:tcPr>
          <w:p w14:paraId="22D0EFF1" w14:textId="77777777" w:rsidR="00BD4D02" w:rsidRPr="00BD4D02" w:rsidRDefault="00BD4D02" w:rsidP="00BD4D02">
            <w:pPr>
              <w:rPr>
                <w:sz w:val="20"/>
                <w:szCs w:val="20"/>
              </w:rPr>
            </w:pPr>
          </w:p>
        </w:tc>
        <w:tc>
          <w:tcPr>
            <w:tcW w:w="663" w:type="dxa"/>
            <w:shd w:val="clear" w:color="auto" w:fill="auto"/>
            <w:noWrap/>
            <w:vAlign w:val="bottom"/>
            <w:hideMark/>
          </w:tcPr>
          <w:p w14:paraId="4491B4F6" w14:textId="77777777" w:rsidR="00BD4D02" w:rsidRPr="00BD4D02" w:rsidRDefault="00BD4D02" w:rsidP="00BD4D02">
            <w:pPr>
              <w:rPr>
                <w:sz w:val="20"/>
                <w:szCs w:val="20"/>
              </w:rPr>
            </w:pPr>
          </w:p>
        </w:tc>
        <w:tc>
          <w:tcPr>
            <w:tcW w:w="663" w:type="dxa"/>
            <w:shd w:val="clear" w:color="auto" w:fill="auto"/>
            <w:noWrap/>
            <w:vAlign w:val="bottom"/>
            <w:hideMark/>
          </w:tcPr>
          <w:p w14:paraId="24D814FD" w14:textId="77777777" w:rsidR="00BD4D02" w:rsidRPr="00BD4D02" w:rsidRDefault="00BD4D02" w:rsidP="00BD4D02">
            <w:pPr>
              <w:rPr>
                <w:sz w:val="20"/>
                <w:szCs w:val="20"/>
              </w:rPr>
            </w:pPr>
          </w:p>
        </w:tc>
        <w:tc>
          <w:tcPr>
            <w:tcW w:w="1180" w:type="dxa"/>
            <w:shd w:val="clear" w:color="auto" w:fill="auto"/>
            <w:noWrap/>
            <w:vAlign w:val="bottom"/>
            <w:hideMark/>
          </w:tcPr>
          <w:p w14:paraId="10A9FCAA"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572AAD59" w14:textId="77777777" w:rsidTr="00050580">
        <w:trPr>
          <w:trHeight w:val="144"/>
        </w:trPr>
        <w:tc>
          <w:tcPr>
            <w:tcW w:w="4500" w:type="dxa"/>
            <w:shd w:val="clear" w:color="auto" w:fill="auto"/>
            <w:noWrap/>
            <w:vAlign w:val="bottom"/>
            <w:hideMark/>
          </w:tcPr>
          <w:p w14:paraId="3A982ACE"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TV - HDTV</w:t>
            </w:r>
          </w:p>
        </w:tc>
        <w:tc>
          <w:tcPr>
            <w:tcW w:w="770" w:type="dxa"/>
            <w:shd w:val="clear" w:color="auto" w:fill="auto"/>
            <w:noWrap/>
            <w:vAlign w:val="bottom"/>
            <w:hideMark/>
          </w:tcPr>
          <w:p w14:paraId="7AAF0456"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27465FD7"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51D773AD"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517D9301" w14:textId="77777777" w:rsidR="00BD4D02" w:rsidRPr="00BD4D02" w:rsidRDefault="00BD4D02" w:rsidP="00BD4D02">
            <w:pPr>
              <w:rPr>
                <w:sz w:val="20"/>
                <w:szCs w:val="20"/>
              </w:rPr>
            </w:pPr>
          </w:p>
        </w:tc>
        <w:tc>
          <w:tcPr>
            <w:tcW w:w="663" w:type="dxa"/>
            <w:shd w:val="clear" w:color="auto" w:fill="auto"/>
            <w:noWrap/>
            <w:vAlign w:val="bottom"/>
            <w:hideMark/>
          </w:tcPr>
          <w:p w14:paraId="597D816D" w14:textId="77777777" w:rsidR="00BD4D02" w:rsidRPr="00BD4D02" w:rsidRDefault="00BD4D02" w:rsidP="00BD4D02">
            <w:pPr>
              <w:rPr>
                <w:sz w:val="20"/>
                <w:szCs w:val="20"/>
              </w:rPr>
            </w:pPr>
          </w:p>
        </w:tc>
        <w:tc>
          <w:tcPr>
            <w:tcW w:w="663" w:type="dxa"/>
            <w:shd w:val="clear" w:color="auto" w:fill="auto"/>
            <w:noWrap/>
            <w:vAlign w:val="bottom"/>
            <w:hideMark/>
          </w:tcPr>
          <w:p w14:paraId="3EDB1A4C" w14:textId="77777777" w:rsidR="00BD4D02" w:rsidRPr="00BD4D02" w:rsidRDefault="00BD4D02" w:rsidP="00BD4D02">
            <w:pPr>
              <w:rPr>
                <w:sz w:val="20"/>
                <w:szCs w:val="20"/>
              </w:rPr>
            </w:pPr>
          </w:p>
        </w:tc>
        <w:tc>
          <w:tcPr>
            <w:tcW w:w="663" w:type="dxa"/>
            <w:shd w:val="clear" w:color="auto" w:fill="auto"/>
            <w:noWrap/>
            <w:vAlign w:val="bottom"/>
            <w:hideMark/>
          </w:tcPr>
          <w:p w14:paraId="768CBE6E" w14:textId="77777777" w:rsidR="00BD4D02" w:rsidRPr="00BD4D02" w:rsidRDefault="00BD4D02" w:rsidP="00BD4D02">
            <w:pPr>
              <w:rPr>
                <w:sz w:val="20"/>
                <w:szCs w:val="20"/>
              </w:rPr>
            </w:pPr>
          </w:p>
        </w:tc>
        <w:tc>
          <w:tcPr>
            <w:tcW w:w="663" w:type="dxa"/>
            <w:shd w:val="clear" w:color="auto" w:fill="auto"/>
            <w:noWrap/>
            <w:vAlign w:val="bottom"/>
            <w:hideMark/>
          </w:tcPr>
          <w:p w14:paraId="10728696" w14:textId="77777777" w:rsidR="00BD4D02" w:rsidRPr="00BD4D02" w:rsidRDefault="00BD4D02" w:rsidP="00BD4D02">
            <w:pPr>
              <w:rPr>
                <w:sz w:val="20"/>
                <w:szCs w:val="20"/>
              </w:rPr>
            </w:pPr>
          </w:p>
        </w:tc>
        <w:tc>
          <w:tcPr>
            <w:tcW w:w="663" w:type="dxa"/>
            <w:shd w:val="clear" w:color="auto" w:fill="auto"/>
            <w:noWrap/>
            <w:vAlign w:val="bottom"/>
            <w:hideMark/>
          </w:tcPr>
          <w:p w14:paraId="14A1EF74" w14:textId="77777777" w:rsidR="00BD4D02" w:rsidRPr="00BD4D02" w:rsidRDefault="00BD4D02" w:rsidP="00BD4D02">
            <w:pPr>
              <w:rPr>
                <w:sz w:val="20"/>
                <w:szCs w:val="20"/>
              </w:rPr>
            </w:pPr>
          </w:p>
        </w:tc>
        <w:tc>
          <w:tcPr>
            <w:tcW w:w="663" w:type="dxa"/>
            <w:shd w:val="clear" w:color="auto" w:fill="auto"/>
            <w:noWrap/>
            <w:vAlign w:val="bottom"/>
            <w:hideMark/>
          </w:tcPr>
          <w:p w14:paraId="236BE925" w14:textId="77777777" w:rsidR="00BD4D02" w:rsidRPr="00BD4D02" w:rsidRDefault="00BD4D02" w:rsidP="00BD4D02">
            <w:pPr>
              <w:rPr>
                <w:sz w:val="20"/>
                <w:szCs w:val="20"/>
              </w:rPr>
            </w:pPr>
          </w:p>
        </w:tc>
        <w:tc>
          <w:tcPr>
            <w:tcW w:w="663" w:type="dxa"/>
            <w:shd w:val="clear" w:color="auto" w:fill="auto"/>
            <w:noWrap/>
            <w:vAlign w:val="bottom"/>
            <w:hideMark/>
          </w:tcPr>
          <w:p w14:paraId="7DDBE629" w14:textId="77777777" w:rsidR="00BD4D02" w:rsidRPr="00BD4D02" w:rsidRDefault="00BD4D02" w:rsidP="00BD4D02">
            <w:pPr>
              <w:rPr>
                <w:sz w:val="20"/>
                <w:szCs w:val="20"/>
              </w:rPr>
            </w:pPr>
          </w:p>
        </w:tc>
        <w:tc>
          <w:tcPr>
            <w:tcW w:w="663" w:type="dxa"/>
            <w:shd w:val="clear" w:color="auto" w:fill="auto"/>
            <w:noWrap/>
            <w:vAlign w:val="bottom"/>
            <w:hideMark/>
          </w:tcPr>
          <w:p w14:paraId="7819BC29" w14:textId="77777777" w:rsidR="00BD4D02" w:rsidRPr="00BD4D02" w:rsidRDefault="00BD4D02" w:rsidP="00BD4D02">
            <w:pPr>
              <w:rPr>
                <w:sz w:val="20"/>
                <w:szCs w:val="20"/>
              </w:rPr>
            </w:pPr>
          </w:p>
        </w:tc>
        <w:tc>
          <w:tcPr>
            <w:tcW w:w="1180" w:type="dxa"/>
            <w:shd w:val="clear" w:color="auto" w:fill="auto"/>
            <w:noWrap/>
            <w:vAlign w:val="bottom"/>
            <w:hideMark/>
          </w:tcPr>
          <w:p w14:paraId="0E54681C"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141CB2A2" w14:textId="77777777" w:rsidTr="00050580">
        <w:trPr>
          <w:trHeight w:val="144"/>
        </w:trPr>
        <w:tc>
          <w:tcPr>
            <w:tcW w:w="4500" w:type="dxa"/>
            <w:shd w:val="clear" w:color="auto" w:fill="auto"/>
            <w:noWrap/>
            <w:vAlign w:val="bottom"/>
            <w:hideMark/>
          </w:tcPr>
          <w:p w14:paraId="1B490B7F"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VOD</w:t>
            </w:r>
          </w:p>
        </w:tc>
        <w:tc>
          <w:tcPr>
            <w:tcW w:w="770" w:type="dxa"/>
            <w:shd w:val="clear" w:color="auto" w:fill="auto"/>
            <w:noWrap/>
            <w:vAlign w:val="bottom"/>
            <w:hideMark/>
          </w:tcPr>
          <w:p w14:paraId="5C4ACAA5"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3C4D0F08" w14:textId="77777777" w:rsidR="00BD4D02" w:rsidRPr="00BD4D02" w:rsidRDefault="00BD4D02" w:rsidP="00BD4D02">
            <w:pPr>
              <w:rPr>
                <w:sz w:val="20"/>
                <w:szCs w:val="20"/>
              </w:rPr>
            </w:pPr>
          </w:p>
        </w:tc>
        <w:tc>
          <w:tcPr>
            <w:tcW w:w="663" w:type="dxa"/>
            <w:shd w:val="clear" w:color="auto" w:fill="auto"/>
            <w:noWrap/>
            <w:vAlign w:val="bottom"/>
            <w:hideMark/>
          </w:tcPr>
          <w:p w14:paraId="73467FBE" w14:textId="77777777" w:rsidR="00BD4D02" w:rsidRPr="00BD4D02" w:rsidRDefault="00BD4D02" w:rsidP="00BD4D02">
            <w:pPr>
              <w:rPr>
                <w:sz w:val="20"/>
                <w:szCs w:val="20"/>
              </w:rPr>
            </w:pPr>
          </w:p>
        </w:tc>
        <w:tc>
          <w:tcPr>
            <w:tcW w:w="663" w:type="dxa"/>
            <w:shd w:val="clear" w:color="auto" w:fill="auto"/>
            <w:noWrap/>
            <w:vAlign w:val="bottom"/>
            <w:hideMark/>
          </w:tcPr>
          <w:p w14:paraId="729F940E" w14:textId="77777777" w:rsidR="00BD4D02" w:rsidRPr="00BD4D02" w:rsidRDefault="00BD4D02" w:rsidP="00BD4D02">
            <w:pPr>
              <w:rPr>
                <w:sz w:val="20"/>
                <w:szCs w:val="20"/>
              </w:rPr>
            </w:pPr>
          </w:p>
        </w:tc>
        <w:tc>
          <w:tcPr>
            <w:tcW w:w="663" w:type="dxa"/>
            <w:shd w:val="clear" w:color="auto" w:fill="auto"/>
            <w:noWrap/>
            <w:vAlign w:val="bottom"/>
            <w:hideMark/>
          </w:tcPr>
          <w:p w14:paraId="6EFFDCFC" w14:textId="77777777" w:rsidR="00BD4D02" w:rsidRPr="00BD4D02" w:rsidRDefault="00BD4D02" w:rsidP="00BD4D02">
            <w:pPr>
              <w:rPr>
                <w:sz w:val="20"/>
                <w:szCs w:val="20"/>
              </w:rPr>
            </w:pPr>
          </w:p>
        </w:tc>
        <w:tc>
          <w:tcPr>
            <w:tcW w:w="663" w:type="dxa"/>
            <w:shd w:val="clear" w:color="auto" w:fill="auto"/>
            <w:noWrap/>
            <w:vAlign w:val="bottom"/>
            <w:hideMark/>
          </w:tcPr>
          <w:p w14:paraId="68CDB225" w14:textId="77777777" w:rsidR="00BD4D02" w:rsidRPr="00BD4D02" w:rsidRDefault="00BD4D02" w:rsidP="00BD4D02">
            <w:pPr>
              <w:rPr>
                <w:sz w:val="20"/>
                <w:szCs w:val="20"/>
              </w:rPr>
            </w:pPr>
          </w:p>
        </w:tc>
        <w:tc>
          <w:tcPr>
            <w:tcW w:w="663" w:type="dxa"/>
            <w:shd w:val="clear" w:color="auto" w:fill="auto"/>
            <w:noWrap/>
            <w:vAlign w:val="bottom"/>
            <w:hideMark/>
          </w:tcPr>
          <w:p w14:paraId="3638265C" w14:textId="77777777" w:rsidR="00BD4D02" w:rsidRPr="00BD4D02" w:rsidRDefault="00BD4D02" w:rsidP="00BD4D02">
            <w:pPr>
              <w:rPr>
                <w:sz w:val="20"/>
                <w:szCs w:val="20"/>
              </w:rPr>
            </w:pPr>
          </w:p>
        </w:tc>
        <w:tc>
          <w:tcPr>
            <w:tcW w:w="663" w:type="dxa"/>
            <w:shd w:val="clear" w:color="auto" w:fill="auto"/>
            <w:noWrap/>
            <w:vAlign w:val="bottom"/>
            <w:hideMark/>
          </w:tcPr>
          <w:p w14:paraId="232466FF"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46901ABB"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215E4676"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38C1DE21" w14:textId="77777777" w:rsidR="00BD4D02" w:rsidRPr="00BD4D02" w:rsidRDefault="00BD4D02" w:rsidP="00BD4D02">
            <w:pPr>
              <w:rPr>
                <w:sz w:val="20"/>
                <w:szCs w:val="20"/>
              </w:rPr>
            </w:pPr>
          </w:p>
        </w:tc>
        <w:tc>
          <w:tcPr>
            <w:tcW w:w="663" w:type="dxa"/>
            <w:shd w:val="clear" w:color="auto" w:fill="auto"/>
            <w:noWrap/>
            <w:vAlign w:val="bottom"/>
            <w:hideMark/>
          </w:tcPr>
          <w:p w14:paraId="007379D9" w14:textId="77777777" w:rsidR="00BD4D02" w:rsidRPr="00BD4D02" w:rsidRDefault="00BD4D02" w:rsidP="00BD4D02">
            <w:pPr>
              <w:rPr>
                <w:sz w:val="20"/>
                <w:szCs w:val="20"/>
              </w:rPr>
            </w:pPr>
          </w:p>
        </w:tc>
        <w:tc>
          <w:tcPr>
            <w:tcW w:w="1180" w:type="dxa"/>
            <w:shd w:val="clear" w:color="auto" w:fill="auto"/>
            <w:noWrap/>
            <w:vAlign w:val="bottom"/>
            <w:hideMark/>
          </w:tcPr>
          <w:p w14:paraId="691635D9"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r>
      <w:tr w:rsidR="00BD4D02" w:rsidRPr="00BD4D02" w14:paraId="733ABE8E" w14:textId="77777777" w:rsidTr="00050580">
        <w:trPr>
          <w:trHeight w:val="144"/>
        </w:trPr>
        <w:tc>
          <w:tcPr>
            <w:tcW w:w="4500" w:type="dxa"/>
            <w:shd w:val="clear" w:color="auto" w:fill="auto"/>
            <w:noWrap/>
            <w:vAlign w:val="bottom"/>
            <w:hideMark/>
          </w:tcPr>
          <w:p w14:paraId="2BFDA5E7" w14:textId="77777777" w:rsidR="00BD4D02" w:rsidRPr="00BD4D02" w:rsidRDefault="00BD4D02" w:rsidP="00BD4D02">
            <w:pPr>
              <w:ind w:firstLineChars="100" w:firstLine="201"/>
              <w:rPr>
                <w:rFonts w:ascii="Calibri" w:hAnsi="Calibri" w:cs="Calibri"/>
                <w:b/>
                <w:bCs/>
                <w:color w:val="000000"/>
                <w:sz w:val="20"/>
                <w:szCs w:val="20"/>
              </w:rPr>
            </w:pPr>
            <w:r w:rsidRPr="00BD4D02">
              <w:rPr>
                <w:rFonts w:ascii="Calibri" w:hAnsi="Calibri" w:cs="Calibri"/>
                <w:b/>
                <w:bCs/>
                <w:color w:val="000000"/>
                <w:sz w:val="20"/>
                <w:szCs w:val="20"/>
              </w:rPr>
              <w:t>Broadcast services</w:t>
            </w:r>
          </w:p>
        </w:tc>
        <w:tc>
          <w:tcPr>
            <w:tcW w:w="770" w:type="dxa"/>
            <w:shd w:val="clear" w:color="auto" w:fill="auto"/>
            <w:noWrap/>
            <w:vAlign w:val="bottom"/>
            <w:hideMark/>
          </w:tcPr>
          <w:p w14:paraId="3CD25979"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6</w:t>
            </w:r>
          </w:p>
        </w:tc>
        <w:tc>
          <w:tcPr>
            <w:tcW w:w="663" w:type="dxa"/>
            <w:shd w:val="clear" w:color="auto" w:fill="auto"/>
            <w:noWrap/>
            <w:vAlign w:val="bottom"/>
            <w:hideMark/>
          </w:tcPr>
          <w:p w14:paraId="6CBF4687"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3</w:t>
            </w:r>
          </w:p>
        </w:tc>
        <w:tc>
          <w:tcPr>
            <w:tcW w:w="663" w:type="dxa"/>
            <w:shd w:val="clear" w:color="auto" w:fill="auto"/>
            <w:noWrap/>
            <w:vAlign w:val="bottom"/>
            <w:hideMark/>
          </w:tcPr>
          <w:p w14:paraId="0101A581"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3</w:t>
            </w:r>
          </w:p>
        </w:tc>
        <w:tc>
          <w:tcPr>
            <w:tcW w:w="663" w:type="dxa"/>
            <w:shd w:val="clear" w:color="auto" w:fill="auto"/>
            <w:noWrap/>
            <w:vAlign w:val="bottom"/>
            <w:hideMark/>
          </w:tcPr>
          <w:p w14:paraId="3736EE1A"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3</w:t>
            </w:r>
          </w:p>
        </w:tc>
        <w:tc>
          <w:tcPr>
            <w:tcW w:w="663" w:type="dxa"/>
            <w:shd w:val="clear" w:color="auto" w:fill="auto"/>
            <w:noWrap/>
            <w:vAlign w:val="bottom"/>
            <w:hideMark/>
          </w:tcPr>
          <w:p w14:paraId="515923AD"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3</w:t>
            </w:r>
          </w:p>
        </w:tc>
        <w:tc>
          <w:tcPr>
            <w:tcW w:w="663" w:type="dxa"/>
            <w:shd w:val="clear" w:color="auto" w:fill="auto"/>
            <w:noWrap/>
            <w:vAlign w:val="bottom"/>
            <w:hideMark/>
          </w:tcPr>
          <w:p w14:paraId="63BA8D0C"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3</w:t>
            </w:r>
          </w:p>
        </w:tc>
        <w:tc>
          <w:tcPr>
            <w:tcW w:w="663" w:type="dxa"/>
            <w:shd w:val="clear" w:color="auto" w:fill="auto"/>
            <w:noWrap/>
            <w:vAlign w:val="bottom"/>
            <w:hideMark/>
          </w:tcPr>
          <w:p w14:paraId="06C1E01A"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3</w:t>
            </w:r>
          </w:p>
        </w:tc>
        <w:tc>
          <w:tcPr>
            <w:tcW w:w="663" w:type="dxa"/>
            <w:shd w:val="clear" w:color="auto" w:fill="auto"/>
            <w:noWrap/>
            <w:vAlign w:val="bottom"/>
            <w:hideMark/>
          </w:tcPr>
          <w:p w14:paraId="56BEF7A5"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7</w:t>
            </w:r>
          </w:p>
        </w:tc>
        <w:tc>
          <w:tcPr>
            <w:tcW w:w="663" w:type="dxa"/>
            <w:shd w:val="clear" w:color="auto" w:fill="auto"/>
            <w:noWrap/>
            <w:vAlign w:val="bottom"/>
            <w:hideMark/>
          </w:tcPr>
          <w:p w14:paraId="772F699A"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7</w:t>
            </w:r>
          </w:p>
        </w:tc>
        <w:tc>
          <w:tcPr>
            <w:tcW w:w="663" w:type="dxa"/>
            <w:shd w:val="clear" w:color="auto" w:fill="auto"/>
            <w:noWrap/>
            <w:vAlign w:val="bottom"/>
            <w:hideMark/>
          </w:tcPr>
          <w:p w14:paraId="70F33207"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7</w:t>
            </w:r>
          </w:p>
        </w:tc>
        <w:tc>
          <w:tcPr>
            <w:tcW w:w="663" w:type="dxa"/>
            <w:shd w:val="clear" w:color="auto" w:fill="auto"/>
            <w:noWrap/>
            <w:vAlign w:val="bottom"/>
            <w:hideMark/>
          </w:tcPr>
          <w:p w14:paraId="3CD324C3"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4</w:t>
            </w:r>
          </w:p>
        </w:tc>
        <w:tc>
          <w:tcPr>
            <w:tcW w:w="663" w:type="dxa"/>
            <w:shd w:val="clear" w:color="auto" w:fill="auto"/>
            <w:noWrap/>
            <w:vAlign w:val="bottom"/>
            <w:hideMark/>
          </w:tcPr>
          <w:p w14:paraId="0B362E2D"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8</w:t>
            </w:r>
          </w:p>
        </w:tc>
        <w:tc>
          <w:tcPr>
            <w:tcW w:w="1180" w:type="dxa"/>
            <w:shd w:val="clear" w:color="auto" w:fill="auto"/>
            <w:noWrap/>
            <w:vAlign w:val="bottom"/>
            <w:hideMark/>
          </w:tcPr>
          <w:p w14:paraId="389625F3"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57</w:t>
            </w:r>
          </w:p>
        </w:tc>
      </w:tr>
      <w:tr w:rsidR="00BD4D02" w:rsidRPr="00BD4D02" w14:paraId="365E9997" w14:textId="77777777" w:rsidTr="00050580">
        <w:trPr>
          <w:trHeight w:val="144"/>
        </w:trPr>
        <w:tc>
          <w:tcPr>
            <w:tcW w:w="4500" w:type="dxa"/>
            <w:shd w:val="clear" w:color="auto" w:fill="auto"/>
            <w:noWrap/>
            <w:vAlign w:val="bottom"/>
            <w:hideMark/>
          </w:tcPr>
          <w:p w14:paraId="2FAD4147"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Authorized broadcasting services</w:t>
            </w:r>
          </w:p>
        </w:tc>
        <w:tc>
          <w:tcPr>
            <w:tcW w:w="770" w:type="dxa"/>
            <w:shd w:val="clear" w:color="auto" w:fill="auto"/>
            <w:noWrap/>
            <w:vAlign w:val="bottom"/>
            <w:hideMark/>
          </w:tcPr>
          <w:p w14:paraId="24AE05A7"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6</w:t>
            </w:r>
          </w:p>
        </w:tc>
        <w:tc>
          <w:tcPr>
            <w:tcW w:w="663" w:type="dxa"/>
            <w:shd w:val="clear" w:color="auto" w:fill="auto"/>
            <w:noWrap/>
            <w:vAlign w:val="bottom"/>
            <w:hideMark/>
          </w:tcPr>
          <w:p w14:paraId="431BAEBC"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w:t>
            </w:r>
          </w:p>
        </w:tc>
        <w:tc>
          <w:tcPr>
            <w:tcW w:w="663" w:type="dxa"/>
            <w:shd w:val="clear" w:color="auto" w:fill="auto"/>
            <w:noWrap/>
            <w:vAlign w:val="bottom"/>
            <w:hideMark/>
          </w:tcPr>
          <w:p w14:paraId="180B3EB0"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w:t>
            </w:r>
          </w:p>
        </w:tc>
        <w:tc>
          <w:tcPr>
            <w:tcW w:w="663" w:type="dxa"/>
            <w:shd w:val="clear" w:color="auto" w:fill="auto"/>
            <w:noWrap/>
            <w:vAlign w:val="bottom"/>
            <w:hideMark/>
          </w:tcPr>
          <w:p w14:paraId="027097FE"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w:t>
            </w:r>
          </w:p>
        </w:tc>
        <w:tc>
          <w:tcPr>
            <w:tcW w:w="663" w:type="dxa"/>
            <w:shd w:val="clear" w:color="auto" w:fill="auto"/>
            <w:noWrap/>
            <w:vAlign w:val="bottom"/>
            <w:hideMark/>
          </w:tcPr>
          <w:p w14:paraId="3483ABA3"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w:t>
            </w:r>
          </w:p>
        </w:tc>
        <w:tc>
          <w:tcPr>
            <w:tcW w:w="663" w:type="dxa"/>
            <w:shd w:val="clear" w:color="auto" w:fill="auto"/>
            <w:noWrap/>
            <w:vAlign w:val="bottom"/>
            <w:hideMark/>
          </w:tcPr>
          <w:p w14:paraId="3A5C672E"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w:t>
            </w:r>
          </w:p>
        </w:tc>
        <w:tc>
          <w:tcPr>
            <w:tcW w:w="663" w:type="dxa"/>
            <w:shd w:val="clear" w:color="auto" w:fill="auto"/>
            <w:noWrap/>
            <w:vAlign w:val="bottom"/>
            <w:hideMark/>
          </w:tcPr>
          <w:p w14:paraId="05EF2DD3"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w:t>
            </w:r>
          </w:p>
        </w:tc>
        <w:tc>
          <w:tcPr>
            <w:tcW w:w="663" w:type="dxa"/>
            <w:shd w:val="clear" w:color="auto" w:fill="auto"/>
            <w:noWrap/>
            <w:vAlign w:val="bottom"/>
            <w:hideMark/>
          </w:tcPr>
          <w:p w14:paraId="43BDB086"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5</w:t>
            </w:r>
          </w:p>
        </w:tc>
        <w:tc>
          <w:tcPr>
            <w:tcW w:w="663" w:type="dxa"/>
            <w:shd w:val="clear" w:color="auto" w:fill="auto"/>
            <w:noWrap/>
            <w:vAlign w:val="bottom"/>
            <w:hideMark/>
          </w:tcPr>
          <w:p w14:paraId="5F29D959"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5</w:t>
            </w:r>
          </w:p>
        </w:tc>
        <w:tc>
          <w:tcPr>
            <w:tcW w:w="663" w:type="dxa"/>
            <w:shd w:val="clear" w:color="auto" w:fill="auto"/>
            <w:noWrap/>
            <w:vAlign w:val="bottom"/>
            <w:hideMark/>
          </w:tcPr>
          <w:p w14:paraId="63840EE9"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5</w:t>
            </w:r>
          </w:p>
        </w:tc>
        <w:tc>
          <w:tcPr>
            <w:tcW w:w="663" w:type="dxa"/>
            <w:shd w:val="clear" w:color="auto" w:fill="auto"/>
            <w:noWrap/>
            <w:vAlign w:val="bottom"/>
            <w:hideMark/>
          </w:tcPr>
          <w:p w14:paraId="5C3CE9D8"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4</w:t>
            </w:r>
          </w:p>
        </w:tc>
        <w:tc>
          <w:tcPr>
            <w:tcW w:w="663" w:type="dxa"/>
            <w:shd w:val="clear" w:color="auto" w:fill="auto"/>
            <w:noWrap/>
            <w:vAlign w:val="bottom"/>
            <w:hideMark/>
          </w:tcPr>
          <w:p w14:paraId="27E3DE35"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4</w:t>
            </w:r>
          </w:p>
        </w:tc>
        <w:tc>
          <w:tcPr>
            <w:tcW w:w="1180" w:type="dxa"/>
            <w:shd w:val="clear" w:color="auto" w:fill="auto"/>
            <w:noWrap/>
            <w:vAlign w:val="bottom"/>
            <w:hideMark/>
          </w:tcPr>
          <w:p w14:paraId="6BD06FD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47</w:t>
            </w:r>
          </w:p>
        </w:tc>
      </w:tr>
      <w:tr w:rsidR="00BD4D02" w:rsidRPr="00BD4D02" w14:paraId="6987E7CC" w14:textId="77777777" w:rsidTr="00050580">
        <w:trPr>
          <w:trHeight w:val="144"/>
        </w:trPr>
        <w:tc>
          <w:tcPr>
            <w:tcW w:w="4500" w:type="dxa"/>
            <w:shd w:val="clear" w:color="auto" w:fill="auto"/>
            <w:noWrap/>
            <w:vAlign w:val="bottom"/>
            <w:hideMark/>
          </w:tcPr>
          <w:p w14:paraId="663708A6"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Authorized television services</w:t>
            </w:r>
          </w:p>
        </w:tc>
        <w:tc>
          <w:tcPr>
            <w:tcW w:w="770" w:type="dxa"/>
            <w:shd w:val="clear" w:color="auto" w:fill="auto"/>
            <w:noWrap/>
            <w:vAlign w:val="bottom"/>
            <w:hideMark/>
          </w:tcPr>
          <w:p w14:paraId="6853BD7E"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6F9967E8" w14:textId="77777777" w:rsidR="00BD4D02" w:rsidRPr="00BD4D02" w:rsidRDefault="00BD4D02" w:rsidP="00BD4D02">
            <w:pPr>
              <w:rPr>
                <w:sz w:val="20"/>
                <w:szCs w:val="20"/>
              </w:rPr>
            </w:pPr>
          </w:p>
        </w:tc>
        <w:tc>
          <w:tcPr>
            <w:tcW w:w="663" w:type="dxa"/>
            <w:shd w:val="clear" w:color="auto" w:fill="auto"/>
            <w:noWrap/>
            <w:vAlign w:val="bottom"/>
            <w:hideMark/>
          </w:tcPr>
          <w:p w14:paraId="6B342704" w14:textId="77777777" w:rsidR="00BD4D02" w:rsidRPr="00BD4D02" w:rsidRDefault="00BD4D02" w:rsidP="00BD4D02">
            <w:pPr>
              <w:rPr>
                <w:sz w:val="20"/>
                <w:szCs w:val="20"/>
              </w:rPr>
            </w:pPr>
          </w:p>
        </w:tc>
        <w:tc>
          <w:tcPr>
            <w:tcW w:w="663" w:type="dxa"/>
            <w:shd w:val="clear" w:color="auto" w:fill="auto"/>
            <w:noWrap/>
            <w:vAlign w:val="bottom"/>
            <w:hideMark/>
          </w:tcPr>
          <w:p w14:paraId="4AC9A87B" w14:textId="77777777" w:rsidR="00BD4D02" w:rsidRPr="00BD4D02" w:rsidRDefault="00BD4D02" w:rsidP="00BD4D02">
            <w:pPr>
              <w:rPr>
                <w:sz w:val="20"/>
                <w:szCs w:val="20"/>
              </w:rPr>
            </w:pPr>
          </w:p>
        </w:tc>
        <w:tc>
          <w:tcPr>
            <w:tcW w:w="663" w:type="dxa"/>
            <w:shd w:val="clear" w:color="auto" w:fill="auto"/>
            <w:noWrap/>
            <w:vAlign w:val="bottom"/>
            <w:hideMark/>
          </w:tcPr>
          <w:p w14:paraId="35516368" w14:textId="77777777" w:rsidR="00BD4D02" w:rsidRPr="00BD4D02" w:rsidRDefault="00BD4D02" w:rsidP="00BD4D02">
            <w:pPr>
              <w:rPr>
                <w:sz w:val="20"/>
                <w:szCs w:val="20"/>
              </w:rPr>
            </w:pPr>
          </w:p>
        </w:tc>
        <w:tc>
          <w:tcPr>
            <w:tcW w:w="663" w:type="dxa"/>
            <w:shd w:val="clear" w:color="auto" w:fill="auto"/>
            <w:noWrap/>
            <w:vAlign w:val="bottom"/>
            <w:hideMark/>
          </w:tcPr>
          <w:p w14:paraId="0E5F55C4" w14:textId="77777777" w:rsidR="00BD4D02" w:rsidRPr="00BD4D02" w:rsidRDefault="00BD4D02" w:rsidP="00BD4D02">
            <w:pPr>
              <w:rPr>
                <w:sz w:val="20"/>
                <w:szCs w:val="20"/>
              </w:rPr>
            </w:pPr>
          </w:p>
        </w:tc>
        <w:tc>
          <w:tcPr>
            <w:tcW w:w="663" w:type="dxa"/>
            <w:shd w:val="clear" w:color="auto" w:fill="auto"/>
            <w:noWrap/>
            <w:vAlign w:val="bottom"/>
            <w:hideMark/>
          </w:tcPr>
          <w:p w14:paraId="7A69F087" w14:textId="77777777" w:rsidR="00BD4D02" w:rsidRPr="00BD4D02" w:rsidRDefault="00BD4D02" w:rsidP="00BD4D02">
            <w:pPr>
              <w:rPr>
                <w:sz w:val="20"/>
                <w:szCs w:val="20"/>
              </w:rPr>
            </w:pPr>
          </w:p>
        </w:tc>
        <w:tc>
          <w:tcPr>
            <w:tcW w:w="663" w:type="dxa"/>
            <w:shd w:val="clear" w:color="auto" w:fill="auto"/>
            <w:noWrap/>
            <w:vAlign w:val="bottom"/>
            <w:hideMark/>
          </w:tcPr>
          <w:p w14:paraId="4D3D7150" w14:textId="77777777" w:rsidR="00BD4D02" w:rsidRPr="00BD4D02" w:rsidRDefault="00BD4D02" w:rsidP="00BD4D02">
            <w:pPr>
              <w:rPr>
                <w:sz w:val="20"/>
                <w:szCs w:val="20"/>
              </w:rPr>
            </w:pPr>
          </w:p>
        </w:tc>
        <w:tc>
          <w:tcPr>
            <w:tcW w:w="663" w:type="dxa"/>
            <w:shd w:val="clear" w:color="auto" w:fill="auto"/>
            <w:noWrap/>
            <w:vAlign w:val="bottom"/>
            <w:hideMark/>
          </w:tcPr>
          <w:p w14:paraId="4930F715" w14:textId="77777777" w:rsidR="00BD4D02" w:rsidRPr="00BD4D02" w:rsidRDefault="00BD4D02" w:rsidP="00BD4D02">
            <w:pPr>
              <w:rPr>
                <w:sz w:val="20"/>
                <w:szCs w:val="20"/>
              </w:rPr>
            </w:pPr>
          </w:p>
        </w:tc>
        <w:tc>
          <w:tcPr>
            <w:tcW w:w="663" w:type="dxa"/>
            <w:shd w:val="clear" w:color="auto" w:fill="auto"/>
            <w:noWrap/>
            <w:vAlign w:val="bottom"/>
            <w:hideMark/>
          </w:tcPr>
          <w:p w14:paraId="7683C57B" w14:textId="77777777" w:rsidR="00BD4D02" w:rsidRPr="00BD4D02" w:rsidRDefault="00BD4D02" w:rsidP="00BD4D02">
            <w:pPr>
              <w:rPr>
                <w:sz w:val="20"/>
                <w:szCs w:val="20"/>
              </w:rPr>
            </w:pPr>
          </w:p>
        </w:tc>
        <w:tc>
          <w:tcPr>
            <w:tcW w:w="663" w:type="dxa"/>
            <w:shd w:val="clear" w:color="auto" w:fill="auto"/>
            <w:noWrap/>
            <w:vAlign w:val="bottom"/>
            <w:hideMark/>
          </w:tcPr>
          <w:p w14:paraId="383BEC41" w14:textId="77777777" w:rsidR="00BD4D02" w:rsidRPr="00BD4D02" w:rsidRDefault="00BD4D02" w:rsidP="00BD4D02">
            <w:pPr>
              <w:rPr>
                <w:sz w:val="20"/>
                <w:szCs w:val="20"/>
              </w:rPr>
            </w:pPr>
          </w:p>
        </w:tc>
        <w:tc>
          <w:tcPr>
            <w:tcW w:w="663" w:type="dxa"/>
            <w:shd w:val="clear" w:color="auto" w:fill="auto"/>
            <w:noWrap/>
            <w:vAlign w:val="bottom"/>
            <w:hideMark/>
          </w:tcPr>
          <w:p w14:paraId="6DE35B18"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w:t>
            </w:r>
          </w:p>
        </w:tc>
        <w:tc>
          <w:tcPr>
            <w:tcW w:w="1180" w:type="dxa"/>
            <w:shd w:val="clear" w:color="auto" w:fill="auto"/>
            <w:noWrap/>
            <w:vAlign w:val="bottom"/>
            <w:hideMark/>
          </w:tcPr>
          <w:p w14:paraId="462A8D9F"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w:t>
            </w:r>
          </w:p>
        </w:tc>
      </w:tr>
      <w:tr w:rsidR="00BD4D02" w:rsidRPr="00BD4D02" w14:paraId="20800F41" w14:textId="77777777" w:rsidTr="00050580">
        <w:trPr>
          <w:trHeight w:val="144"/>
        </w:trPr>
        <w:tc>
          <w:tcPr>
            <w:tcW w:w="4500" w:type="dxa"/>
            <w:shd w:val="clear" w:color="auto" w:fill="auto"/>
            <w:noWrap/>
            <w:vAlign w:val="bottom"/>
            <w:hideMark/>
          </w:tcPr>
          <w:p w14:paraId="1DD4718D"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Online video</w:t>
            </w:r>
          </w:p>
        </w:tc>
        <w:tc>
          <w:tcPr>
            <w:tcW w:w="770" w:type="dxa"/>
            <w:shd w:val="clear" w:color="auto" w:fill="auto"/>
            <w:noWrap/>
            <w:vAlign w:val="bottom"/>
            <w:hideMark/>
          </w:tcPr>
          <w:p w14:paraId="7A14EC09"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0FB00FDB" w14:textId="77777777" w:rsidR="00BD4D02" w:rsidRPr="00BD4D02" w:rsidRDefault="00BD4D02" w:rsidP="00BD4D02">
            <w:pPr>
              <w:rPr>
                <w:sz w:val="20"/>
                <w:szCs w:val="20"/>
              </w:rPr>
            </w:pPr>
          </w:p>
        </w:tc>
        <w:tc>
          <w:tcPr>
            <w:tcW w:w="663" w:type="dxa"/>
            <w:shd w:val="clear" w:color="auto" w:fill="auto"/>
            <w:noWrap/>
            <w:vAlign w:val="bottom"/>
            <w:hideMark/>
          </w:tcPr>
          <w:p w14:paraId="705CFE53" w14:textId="77777777" w:rsidR="00BD4D02" w:rsidRPr="00BD4D02" w:rsidRDefault="00BD4D02" w:rsidP="00BD4D02">
            <w:pPr>
              <w:rPr>
                <w:sz w:val="20"/>
                <w:szCs w:val="20"/>
              </w:rPr>
            </w:pPr>
          </w:p>
        </w:tc>
        <w:tc>
          <w:tcPr>
            <w:tcW w:w="663" w:type="dxa"/>
            <w:shd w:val="clear" w:color="auto" w:fill="auto"/>
            <w:noWrap/>
            <w:vAlign w:val="bottom"/>
            <w:hideMark/>
          </w:tcPr>
          <w:p w14:paraId="3A95B814" w14:textId="77777777" w:rsidR="00BD4D02" w:rsidRPr="00BD4D02" w:rsidRDefault="00BD4D02" w:rsidP="00BD4D02">
            <w:pPr>
              <w:rPr>
                <w:sz w:val="20"/>
                <w:szCs w:val="20"/>
              </w:rPr>
            </w:pPr>
          </w:p>
        </w:tc>
        <w:tc>
          <w:tcPr>
            <w:tcW w:w="663" w:type="dxa"/>
            <w:shd w:val="clear" w:color="auto" w:fill="auto"/>
            <w:noWrap/>
            <w:vAlign w:val="bottom"/>
            <w:hideMark/>
          </w:tcPr>
          <w:p w14:paraId="1CC3AFE9" w14:textId="77777777" w:rsidR="00BD4D02" w:rsidRPr="00BD4D02" w:rsidRDefault="00BD4D02" w:rsidP="00BD4D02">
            <w:pPr>
              <w:rPr>
                <w:sz w:val="20"/>
                <w:szCs w:val="20"/>
              </w:rPr>
            </w:pPr>
          </w:p>
        </w:tc>
        <w:tc>
          <w:tcPr>
            <w:tcW w:w="663" w:type="dxa"/>
            <w:shd w:val="clear" w:color="auto" w:fill="auto"/>
            <w:noWrap/>
            <w:vAlign w:val="bottom"/>
            <w:hideMark/>
          </w:tcPr>
          <w:p w14:paraId="1A402C8D" w14:textId="77777777" w:rsidR="00BD4D02" w:rsidRPr="00BD4D02" w:rsidRDefault="00BD4D02" w:rsidP="00BD4D02">
            <w:pPr>
              <w:rPr>
                <w:sz w:val="20"/>
                <w:szCs w:val="20"/>
              </w:rPr>
            </w:pPr>
          </w:p>
        </w:tc>
        <w:tc>
          <w:tcPr>
            <w:tcW w:w="663" w:type="dxa"/>
            <w:shd w:val="clear" w:color="auto" w:fill="auto"/>
            <w:noWrap/>
            <w:vAlign w:val="bottom"/>
            <w:hideMark/>
          </w:tcPr>
          <w:p w14:paraId="2AF9EBD3" w14:textId="77777777" w:rsidR="00BD4D02" w:rsidRPr="00BD4D02" w:rsidRDefault="00BD4D02" w:rsidP="00BD4D02">
            <w:pPr>
              <w:rPr>
                <w:sz w:val="20"/>
                <w:szCs w:val="20"/>
              </w:rPr>
            </w:pPr>
          </w:p>
        </w:tc>
        <w:tc>
          <w:tcPr>
            <w:tcW w:w="663" w:type="dxa"/>
            <w:shd w:val="clear" w:color="auto" w:fill="auto"/>
            <w:noWrap/>
            <w:vAlign w:val="bottom"/>
            <w:hideMark/>
          </w:tcPr>
          <w:p w14:paraId="50D8C5E2" w14:textId="77777777" w:rsidR="00BD4D02" w:rsidRPr="00BD4D02" w:rsidRDefault="00BD4D02" w:rsidP="00BD4D02">
            <w:pPr>
              <w:rPr>
                <w:sz w:val="20"/>
                <w:szCs w:val="20"/>
              </w:rPr>
            </w:pPr>
          </w:p>
        </w:tc>
        <w:tc>
          <w:tcPr>
            <w:tcW w:w="663" w:type="dxa"/>
            <w:shd w:val="clear" w:color="auto" w:fill="auto"/>
            <w:noWrap/>
            <w:vAlign w:val="bottom"/>
            <w:hideMark/>
          </w:tcPr>
          <w:p w14:paraId="272C4CD7" w14:textId="77777777" w:rsidR="00BD4D02" w:rsidRPr="00BD4D02" w:rsidRDefault="00BD4D02" w:rsidP="00BD4D02">
            <w:pPr>
              <w:rPr>
                <w:sz w:val="20"/>
                <w:szCs w:val="20"/>
              </w:rPr>
            </w:pPr>
          </w:p>
        </w:tc>
        <w:tc>
          <w:tcPr>
            <w:tcW w:w="663" w:type="dxa"/>
            <w:shd w:val="clear" w:color="auto" w:fill="auto"/>
            <w:noWrap/>
            <w:vAlign w:val="bottom"/>
            <w:hideMark/>
          </w:tcPr>
          <w:p w14:paraId="698C907F" w14:textId="77777777" w:rsidR="00BD4D02" w:rsidRPr="00BD4D02" w:rsidRDefault="00BD4D02" w:rsidP="00BD4D02">
            <w:pPr>
              <w:rPr>
                <w:sz w:val="20"/>
                <w:szCs w:val="20"/>
              </w:rPr>
            </w:pPr>
          </w:p>
        </w:tc>
        <w:tc>
          <w:tcPr>
            <w:tcW w:w="663" w:type="dxa"/>
            <w:shd w:val="clear" w:color="auto" w:fill="auto"/>
            <w:noWrap/>
            <w:vAlign w:val="bottom"/>
            <w:hideMark/>
          </w:tcPr>
          <w:p w14:paraId="50904169" w14:textId="77777777" w:rsidR="00BD4D02" w:rsidRPr="00BD4D02" w:rsidRDefault="00BD4D02" w:rsidP="00BD4D02">
            <w:pPr>
              <w:rPr>
                <w:sz w:val="20"/>
                <w:szCs w:val="20"/>
              </w:rPr>
            </w:pPr>
          </w:p>
        </w:tc>
        <w:tc>
          <w:tcPr>
            <w:tcW w:w="663" w:type="dxa"/>
            <w:shd w:val="clear" w:color="auto" w:fill="auto"/>
            <w:noWrap/>
            <w:vAlign w:val="bottom"/>
            <w:hideMark/>
          </w:tcPr>
          <w:p w14:paraId="492A3ADA"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1180" w:type="dxa"/>
            <w:shd w:val="clear" w:color="auto" w:fill="auto"/>
            <w:noWrap/>
            <w:vAlign w:val="bottom"/>
            <w:hideMark/>
          </w:tcPr>
          <w:p w14:paraId="742091A3"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3F6982F6" w14:textId="77777777" w:rsidTr="00050580">
        <w:trPr>
          <w:trHeight w:val="144"/>
        </w:trPr>
        <w:tc>
          <w:tcPr>
            <w:tcW w:w="4500" w:type="dxa"/>
            <w:shd w:val="clear" w:color="auto" w:fill="auto"/>
            <w:noWrap/>
            <w:vAlign w:val="bottom"/>
            <w:hideMark/>
          </w:tcPr>
          <w:p w14:paraId="6BD5FFF6"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Subscriptions - Netflix</w:t>
            </w:r>
          </w:p>
        </w:tc>
        <w:tc>
          <w:tcPr>
            <w:tcW w:w="770" w:type="dxa"/>
            <w:shd w:val="clear" w:color="auto" w:fill="auto"/>
            <w:noWrap/>
            <w:vAlign w:val="bottom"/>
            <w:hideMark/>
          </w:tcPr>
          <w:p w14:paraId="0BC967EC"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48A47D69" w14:textId="77777777" w:rsidR="00BD4D02" w:rsidRPr="00BD4D02" w:rsidRDefault="00BD4D02" w:rsidP="00BD4D02">
            <w:pPr>
              <w:rPr>
                <w:sz w:val="20"/>
                <w:szCs w:val="20"/>
              </w:rPr>
            </w:pPr>
          </w:p>
        </w:tc>
        <w:tc>
          <w:tcPr>
            <w:tcW w:w="663" w:type="dxa"/>
            <w:shd w:val="clear" w:color="auto" w:fill="auto"/>
            <w:noWrap/>
            <w:vAlign w:val="bottom"/>
            <w:hideMark/>
          </w:tcPr>
          <w:p w14:paraId="696BF338" w14:textId="77777777" w:rsidR="00BD4D02" w:rsidRPr="00BD4D02" w:rsidRDefault="00BD4D02" w:rsidP="00BD4D02">
            <w:pPr>
              <w:rPr>
                <w:sz w:val="20"/>
                <w:szCs w:val="20"/>
              </w:rPr>
            </w:pPr>
          </w:p>
        </w:tc>
        <w:tc>
          <w:tcPr>
            <w:tcW w:w="663" w:type="dxa"/>
            <w:shd w:val="clear" w:color="auto" w:fill="auto"/>
            <w:noWrap/>
            <w:vAlign w:val="bottom"/>
            <w:hideMark/>
          </w:tcPr>
          <w:p w14:paraId="6D5E8F85" w14:textId="77777777" w:rsidR="00BD4D02" w:rsidRPr="00BD4D02" w:rsidRDefault="00BD4D02" w:rsidP="00BD4D02">
            <w:pPr>
              <w:rPr>
                <w:sz w:val="20"/>
                <w:szCs w:val="20"/>
              </w:rPr>
            </w:pPr>
          </w:p>
        </w:tc>
        <w:tc>
          <w:tcPr>
            <w:tcW w:w="663" w:type="dxa"/>
            <w:shd w:val="clear" w:color="auto" w:fill="auto"/>
            <w:noWrap/>
            <w:vAlign w:val="bottom"/>
            <w:hideMark/>
          </w:tcPr>
          <w:p w14:paraId="5FB4DBE6" w14:textId="77777777" w:rsidR="00BD4D02" w:rsidRPr="00BD4D02" w:rsidRDefault="00BD4D02" w:rsidP="00BD4D02">
            <w:pPr>
              <w:rPr>
                <w:sz w:val="20"/>
                <w:szCs w:val="20"/>
              </w:rPr>
            </w:pPr>
          </w:p>
        </w:tc>
        <w:tc>
          <w:tcPr>
            <w:tcW w:w="663" w:type="dxa"/>
            <w:shd w:val="clear" w:color="auto" w:fill="auto"/>
            <w:noWrap/>
            <w:vAlign w:val="bottom"/>
            <w:hideMark/>
          </w:tcPr>
          <w:p w14:paraId="3864E6B0" w14:textId="77777777" w:rsidR="00BD4D02" w:rsidRPr="00BD4D02" w:rsidRDefault="00BD4D02" w:rsidP="00BD4D02">
            <w:pPr>
              <w:rPr>
                <w:sz w:val="20"/>
                <w:szCs w:val="20"/>
              </w:rPr>
            </w:pPr>
          </w:p>
        </w:tc>
        <w:tc>
          <w:tcPr>
            <w:tcW w:w="663" w:type="dxa"/>
            <w:shd w:val="clear" w:color="auto" w:fill="auto"/>
            <w:noWrap/>
            <w:vAlign w:val="bottom"/>
            <w:hideMark/>
          </w:tcPr>
          <w:p w14:paraId="11F2C981" w14:textId="77777777" w:rsidR="00BD4D02" w:rsidRPr="00BD4D02" w:rsidRDefault="00BD4D02" w:rsidP="00BD4D02">
            <w:pPr>
              <w:rPr>
                <w:sz w:val="20"/>
                <w:szCs w:val="20"/>
              </w:rPr>
            </w:pPr>
          </w:p>
        </w:tc>
        <w:tc>
          <w:tcPr>
            <w:tcW w:w="663" w:type="dxa"/>
            <w:shd w:val="clear" w:color="auto" w:fill="auto"/>
            <w:noWrap/>
            <w:vAlign w:val="bottom"/>
            <w:hideMark/>
          </w:tcPr>
          <w:p w14:paraId="2A290BFE"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03BDD69C"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24DECF27"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12BDD2A7"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17470F16" w14:textId="77777777" w:rsidR="00BD4D02" w:rsidRPr="00BD4D02" w:rsidRDefault="00BD4D02" w:rsidP="00BD4D02">
            <w:pPr>
              <w:rPr>
                <w:sz w:val="20"/>
                <w:szCs w:val="20"/>
              </w:rPr>
            </w:pPr>
          </w:p>
        </w:tc>
        <w:tc>
          <w:tcPr>
            <w:tcW w:w="1180" w:type="dxa"/>
            <w:shd w:val="clear" w:color="auto" w:fill="auto"/>
            <w:noWrap/>
            <w:vAlign w:val="bottom"/>
            <w:hideMark/>
          </w:tcPr>
          <w:p w14:paraId="1C1A7E3C"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6</w:t>
            </w:r>
          </w:p>
        </w:tc>
      </w:tr>
      <w:tr w:rsidR="00BD4D02" w:rsidRPr="00BD4D02" w14:paraId="2F742D61" w14:textId="77777777" w:rsidTr="00050580">
        <w:trPr>
          <w:trHeight w:val="144"/>
        </w:trPr>
        <w:tc>
          <w:tcPr>
            <w:tcW w:w="4500" w:type="dxa"/>
            <w:shd w:val="clear" w:color="auto" w:fill="auto"/>
            <w:noWrap/>
            <w:vAlign w:val="bottom"/>
            <w:hideMark/>
          </w:tcPr>
          <w:p w14:paraId="4DD1F5ED" w14:textId="77777777" w:rsidR="00BD4D02" w:rsidRPr="00BD4D02" w:rsidRDefault="00BD4D02" w:rsidP="00BD4D02">
            <w:pPr>
              <w:ind w:firstLineChars="100" w:firstLine="201"/>
              <w:rPr>
                <w:rFonts w:ascii="Calibri" w:hAnsi="Calibri" w:cs="Calibri"/>
                <w:b/>
                <w:bCs/>
                <w:color w:val="000000"/>
                <w:sz w:val="20"/>
                <w:szCs w:val="20"/>
              </w:rPr>
            </w:pPr>
            <w:r w:rsidRPr="00BD4D02">
              <w:rPr>
                <w:rFonts w:ascii="Calibri" w:hAnsi="Calibri" w:cs="Calibri"/>
                <w:b/>
                <w:bCs/>
                <w:color w:val="000000"/>
                <w:sz w:val="20"/>
                <w:szCs w:val="20"/>
              </w:rPr>
              <w:t>Canadians' use</w:t>
            </w:r>
          </w:p>
        </w:tc>
        <w:tc>
          <w:tcPr>
            <w:tcW w:w="770" w:type="dxa"/>
            <w:shd w:val="clear" w:color="auto" w:fill="auto"/>
            <w:noWrap/>
            <w:vAlign w:val="bottom"/>
            <w:hideMark/>
          </w:tcPr>
          <w:p w14:paraId="0AD467C8"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23</w:t>
            </w:r>
          </w:p>
        </w:tc>
        <w:tc>
          <w:tcPr>
            <w:tcW w:w="663" w:type="dxa"/>
            <w:shd w:val="clear" w:color="auto" w:fill="auto"/>
            <w:noWrap/>
            <w:vAlign w:val="bottom"/>
            <w:hideMark/>
          </w:tcPr>
          <w:p w14:paraId="119E1F9A"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19</w:t>
            </w:r>
          </w:p>
        </w:tc>
        <w:tc>
          <w:tcPr>
            <w:tcW w:w="663" w:type="dxa"/>
            <w:shd w:val="clear" w:color="auto" w:fill="auto"/>
            <w:noWrap/>
            <w:vAlign w:val="bottom"/>
            <w:hideMark/>
          </w:tcPr>
          <w:p w14:paraId="7A2F1668"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21</w:t>
            </w:r>
          </w:p>
        </w:tc>
        <w:tc>
          <w:tcPr>
            <w:tcW w:w="663" w:type="dxa"/>
            <w:shd w:val="clear" w:color="auto" w:fill="auto"/>
            <w:noWrap/>
            <w:vAlign w:val="bottom"/>
            <w:hideMark/>
          </w:tcPr>
          <w:p w14:paraId="7B7B8E36"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19</w:t>
            </w:r>
          </w:p>
        </w:tc>
        <w:tc>
          <w:tcPr>
            <w:tcW w:w="663" w:type="dxa"/>
            <w:shd w:val="clear" w:color="auto" w:fill="auto"/>
            <w:noWrap/>
            <w:vAlign w:val="bottom"/>
            <w:hideMark/>
          </w:tcPr>
          <w:p w14:paraId="4E0BA653"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22</w:t>
            </w:r>
          </w:p>
        </w:tc>
        <w:tc>
          <w:tcPr>
            <w:tcW w:w="663" w:type="dxa"/>
            <w:shd w:val="clear" w:color="auto" w:fill="auto"/>
            <w:noWrap/>
            <w:vAlign w:val="bottom"/>
            <w:hideMark/>
          </w:tcPr>
          <w:p w14:paraId="2FF8AFF8"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16</w:t>
            </w:r>
          </w:p>
        </w:tc>
        <w:tc>
          <w:tcPr>
            <w:tcW w:w="663" w:type="dxa"/>
            <w:shd w:val="clear" w:color="auto" w:fill="auto"/>
            <w:noWrap/>
            <w:vAlign w:val="bottom"/>
            <w:hideMark/>
          </w:tcPr>
          <w:p w14:paraId="7283938F"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17</w:t>
            </w:r>
          </w:p>
        </w:tc>
        <w:tc>
          <w:tcPr>
            <w:tcW w:w="663" w:type="dxa"/>
            <w:shd w:val="clear" w:color="auto" w:fill="auto"/>
            <w:noWrap/>
            <w:vAlign w:val="bottom"/>
            <w:hideMark/>
          </w:tcPr>
          <w:p w14:paraId="3CC0C651"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19</w:t>
            </w:r>
          </w:p>
        </w:tc>
        <w:tc>
          <w:tcPr>
            <w:tcW w:w="663" w:type="dxa"/>
            <w:shd w:val="clear" w:color="auto" w:fill="auto"/>
            <w:noWrap/>
            <w:vAlign w:val="bottom"/>
            <w:hideMark/>
          </w:tcPr>
          <w:p w14:paraId="4A84E485"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23</w:t>
            </w:r>
          </w:p>
        </w:tc>
        <w:tc>
          <w:tcPr>
            <w:tcW w:w="663" w:type="dxa"/>
            <w:shd w:val="clear" w:color="auto" w:fill="auto"/>
            <w:noWrap/>
            <w:vAlign w:val="bottom"/>
            <w:hideMark/>
          </w:tcPr>
          <w:p w14:paraId="673FAD03"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22</w:t>
            </w:r>
          </w:p>
        </w:tc>
        <w:tc>
          <w:tcPr>
            <w:tcW w:w="663" w:type="dxa"/>
            <w:shd w:val="clear" w:color="auto" w:fill="auto"/>
            <w:noWrap/>
            <w:vAlign w:val="bottom"/>
            <w:hideMark/>
          </w:tcPr>
          <w:p w14:paraId="10DD3F1C"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12</w:t>
            </w:r>
          </w:p>
        </w:tc>
        <w:tc>
          <w:tcPr>
            <w:tcW w:w="663" w:type="dxa"/>
            <w:shd w:val="clear" w:color="auto" w:fill="auto"/>
            <w:noWrap/>
            <w:vAlign w:val="bottom"/>
            <w:hideMark/>
          </w:tcPr>
          <w:p w14:paraId="12CAC1AF"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12</w:t>
            </w:r>
          </w:p>
        </w:tc>
        <w:tc>
          <w:tcPr>
            <w:tcW w:w="1180" w:type="dxa"/>
            <w:shd w:val="clear" w:color="auto" w:fill="auto"/>
            <w:noWrap/>
            <w:vAlign w:val="bottom"/>
            <w:hideMark/>
          </w:tcPr>
          <w:p w14:paraId="07750602"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225</w:t>
            </w:r>
          </w:p>
        </w:tc>
      </w:tr>
      <w:tr w:rsidR="00BD4D02" w:rsidRPr="00BD4D02" w14:paraId="44BAF676" w14:textId="77777777" w:rsidTr="00050580">
        <w:trPr>
          <w:trHeight w:val="144"/>
        </w:trPr>
        <w:tc>
          <w:tcPr>
            <w:tcW w:w="4500" w:type="dxa"/>
            <w:shd w:val="clear" w:color="auto" w:fill="auto"/>
            <w:noWrap/>
            <w:vAlign w:val="bottom"/>
            <w:hideMark/>
          </w:tcPr>
          <w:p w14:paraId="16FDB3FD"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lastRenderedPageBreak/>
              <w:t>Online activity</w:t>
            </w:r>
          </w:p>
        </w:tc>
        <w:tc>
          <w:tcPr>
            <w:tcW w:w="770" w:type="dxa"/>
            <w:shd w:val="clear" w:color="auto" w:fill="auto"/>
            <w:noWrap/>
            <w:vAlign w:val="bottom"/>
            <w:hideMark/>
          </w:tcPr>
          <w:p w14:paraId="1DEEAAE8"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681F5062"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145BB218"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1CCC0B2D"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5AD589A0"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4D0D9584"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1D2DD35B"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0211FAD7"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06D0C71A"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1272DE62"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w:t>
            </w:r>
          </w:p>
        </w:tc>
        <w:tc>
          <w:tcPr>
            <w:tcW w:w="663" w:type="dxa"/>
            <w:shd w:val="clear" w:color="auto" w:fill="auto"/>
            <w:noWrap/>
            <w:vAlign w:val="bottom"/>
            <w:hideMark/>
          </w:tcPr>
          <w:p w14:paraId="5BCA06F8"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w:t>
            </w:r>
          </w:p>
        </w:tc>
        <w:tc>
          <w:tcPr>
            <w:tcW w:w="663" w:type="dxa"/>
            <w:shd w:val="clear" w:color="auto" w:fill="auto"/>
            <w:noWrap/>
            <w:vAlign w:val="bottom"/>
            <w:hideMark/>
          </w:tcPr>
          <w:p w14:paraId="707A3D95"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w:t>
            </w:r>
          </w:p>
        </w:tc>
        <w:tc>
          <w:tcPr>
            <w:tcW w:w="1180" w:type="dxa"/>
            <w:shd w:val="clear" w:color="auto" w:fill="auto"/>
            <w:noWrap/>
            <w:vAlign w:val="bottom"/>
            <w:hideMark/>
          </w:tcPr>
          <w:p w14:paraId="1C996B6D"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21</w:t>
            </w:r>
          </w:p>
        </w:tc>
      </w:tr>
      <w:tr w:rsidR="00BD4D02" w:rsidRPr="00BD4D02" w14:paraId="084966A8" w14:textId="77777777" w:rsidTr="00050580">
        <w:trPr>
          <w:trHeight w:val="144"/>
        </w:trPr>
        <w:tc>
          <w:tcPr>
            <w:tcW w:w="4500" w:type="dxa"/>
            <w:shd w:val="clear" w:color="auto" w:fill="auto"/>
            <w:noWrap/>
            <w:vAlign w:val="bottom"/>
            <w:hideMark/>
          </w:tcPr>
          <w:p w14:paraId="538DD9BE"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Tuning hours/share</w:t>
            </w:r>
          </w:p>
        </w:tc>
        <w:tc>
          <w:tcPr>
            <w:tcW w:w="770" w:type="dxa"/>
            <w:shd w:val="clear" w:color="auto" w:fill="auto"/>
            <w:noWrap/>
            <w:vAlign w:val="bottom"/>
            <w:hideMark/>
          </w:tcPr>
          <w:p w14:paraId="03E735CE"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6</w:t>
            </w:r>
          </w:p>
        </w:tc>
        <w:tc>
          <w:tcPr>
            <w:tcW w:w="663" w:type="dxa"/>
            <w:shd w:val="clear" w:color="auto" w:fill="auto"/>
            <w:noWrap/>
            <w:vAlign w:val="bottom"/>
            <w:hideMark/>
          </w:tcPr>
          <w:p w14:paraId="5807C2E7"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6</w:t>
            </w:r>
          </w:p>
        </w:tc>
        <w:tc>
          <w:tcPr>
            <w:tcW w:w="663" w:type="dxa"/>
            <w:shd w:val="clear" w:color="auto" w:fill="auto"/>
            <w:noWrap/>
            <w:vAlign w:val="bottom"/>
            <w:hideMark/>
          </w:tcPr>
          <w:p w14:paraId="3CCCF20F"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8</w:t>
            </w:r>
          </w:p>
        </w:tc>
        <w:tc>
          <w:tcPr>
            <w:tcW w:w="663" w:type="dxa"/>
            <w:shd w:val="clear" w:color="auto" w:fill="auto"/>
            <w:noWrap/>
            <w:vAlign w:val="bottom"/>
            <w:hideMark/>
          </w:tcPr>
          <w:p w14:paraId="1D6EF0A2"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8</w:t>
            </w:r>
          </w:p>
        </w:tc>
        <w:tc>
          <w:tcPr>
            <w:tcW w:w="663" w:type="dxa"/>
            <w:shd w:val="clear" w:color="auto" w:fill="auto"/>
            <w:noWrap/>
            <w:vAlign w:val="bottom"/>
            <w:hideMark/>
          </w:tcPr>
          <w:p w14:paraId="44123FC2"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9</w:t>
            </w:r>
          </w:p>
        </w:tc>
        <w:tc>
          <w:tcPr>
            <w:tcW w:w="663" w:type="dxa"/>
            <w:shd w:val="clear" w:color="auto" w:fill="auto"/>
            <w:noWrap/>
            <w:vAlign w:val="bottom"/>
            <w:hideMark/>
          </w:tcPr>
          <w:p w14:paraId="0B24C534"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8</w:t>
            </w:r>
          </w:p>
        </w:tc>
        <w:tc>
          <w:tcPr>
            <w:tcW w:w="663" w:type="dxa"/>
            <w:shd w:val="clear" w:color="auto" w:fill="auto"/>
            <w:noWrap/>
            <w:vAlign w:val="bottom"/>
            <w:hideMark/>
          </w:tcPr>
          <w:p w14:paraId="1CAE198F"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7</w:t>
            </w:r>
          </w:p>
        </w:tc>
        <w:tc>
          <w:tcPr>
            <w:tcW w:w="663" w:type="dxa"/>
            <w:shd w:val="clear" w:color="auto" w:fill="auto"/>
            <w:noWrap/>
            <w:vAlign w:val="bottom"/>
            <w:hideMark/>
          </w:tcPr>
          <w:p w14:paraId="5E17493B"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8</w:t>
            </w:r>
          </w:p>
        </w:tc>
        <w:tc>
          <w:tcPr>
            <w:tcW w:w="663" w:type="dxa"/>
            <w:shd w:val="clear" w:color="auto" w:fill="auto"/>
            <w:noWrap/>
            <w:vAlign w:val="bottom"/>
            <w:hideMark/>
          </w:tcPr>
          <w:p w14:paraId="3E6144CF"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10</w:t>
            </w:r>
          </w:p>
        </w:tc>
        <w:tc>
          <w:tcPr>
            <w:tcW w:w="663" w:type="dxa"/>
            <w:shd w:val="clear" w:color="auto" w:fill="auto"/>
            <w:noWrap/>
            <w:vAlign w:val="bottom"/>
            <w:hideMark/>
          </w:tcPr>
          <w:p w14:paraId="34999403"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8</w:t>
            </w:r>
          </w:p>
        </w:tc>
        <w:tc>
          <w:tcPr>
            <w:tcW w:w="663" w:type="dxa"/>
            <w:shd w:val="clear" w:color="auto" w:fill="auto"/>
            <w:noWrap/>
            <w:vAlign w:val="bottom"/>
            <w:hideMark/>
          </w:tcPr>
          <w:p w14:paraId="02D016A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4</w:t>
            </w:r>
          </w:p>
        </w:tc>
        <w:tc>
          <w:tcPr>
            <w:tcW w:w="663" w:type="dxa"/>
            <w:shd w:val="clear" w:color="auto" w:fill="auto"/>
            <w:noWrap/>
            <w:vAlign w:val="bottom"/>
            <w:hideMark/>
          </w:tcPr>
          <w:p w14:paraId="0400C24F"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4</w:t>
            </w:r>
          </w:p>
        </w:tc>
        <w:tc>
          <w:tcPr>
            <w:tcW w:w="1180" w:type="dxa"/>
            <w:shd w:val="clear" w:color="auto" w:fill="auto"/>
            <w:noWrap/>
            <w:vAlign w:val="bottom"/>
            <w:hideMark/>
          </w:tcPr>
          <w:p w14:paraId="2C2AFD6F"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86</w:t>
            </w:r>
          </w:p>
        </w:tc>
      </w:tr>
      <w:tr w:rsidR="00BD4D02" w:rsidRPr="00BD4D02" w14:paraId="7293BF45" w14:textId="77777777" w:rsidTr="00050580">
        <w:trPr>
          <w:trHeight w:val="144"/>
        </w:trPr>
        <w:tc>
          <w:tcPr>
            <w:tcW w:w="4500" w:type="dxa"/>
            <w:shd w:val="clear" w:color="auto" w:fill="auto"/>
            <w:noWrap/>
            <w:vAlign w:val="bottom"/>
            <w:hideMark/>
          </w:tcPr>
          <w:p w14:paraId="02F3EF5F"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Viewing hours/share</w:t>
            </w:r>
          </w:p>
        </w:tc>
        <w:tc>
          <w:tcPr>
            <w:tcW w:w="770" w:type="dxa"/>
            <w:shd w:val="clear" w:color="auto" w:fill="auto"/>
            <w:noWrap/>
            <w:vAlign w:val="bottom"/>
            <w:hideMark/>
          </w:tcPr>
          <w:p w14:paraId="6332D169"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15</w:t>
            </w:r>
          </w:p>
        </w:tc>
        <w:tc>
          <w:tcPr>
            <w:tcW w:w="663" w:type="dxa"/>
            <w:shd w:val="clear" w:color="auto" w:fill="auto"/>
            <w:noWrap/>
            <w:vAlign w:val="bottom"/>
            <w:hideMark/>
          </w:tcPr>
          <w:p w14:paraId="2F988CB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12</w:t>
            </w:r>
          </w:p>
        </w:tc>
        <w:tc>
          <w:tcPr>
            <w:tcW w:w="663" w:type="dxa"/>
            <w:shd w:val="clear" w:color="auto" w:fill="auto"/>
            <w:noWrap/>
            <w:vAlign w:val="bottom"/>
            <w:hideMark/>
          </w:tcPr>
          <w:p w14:paraId="0A5A257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12</w:t>
            </w:r>
          </w:p>
        </w:tc>
        <w:tc>
          <w:tcPr>
            <w:tcW w:w="663" w:type="dxa"/>
            <w:shd w:val="clear" w:color="auto" w:fill="auto"/>
            <w:noWrap/>
            <w:vAlign w:val="bottom"/>
            <w:hideMark/>
          </w:tcPr>
          <w:p w14:paraId="3F5B09F0"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10</w:t>
            </w:r>
          </w:p>
        </w:tc>
        <w:tc>
          <w:tcPr>
            <w:tcW w:w="663" w:type="dxa"/>
            <w:shd w:val="clear" w:color="auto" w:fill="auto"/>
            <w:noWrap/>
            <w:vAlign w:val="bottom"/>
            <w:hideMark/>
          </w:tcPr>
          <w:p w14:paraId="22990445"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11</w:t>
            </w:r>
          </w:p>
        </w:tc>
        <w:tc>
          <w:tcPr>
            <w:tcW w:w="663" w:type="dxa"/>
            <w:shd w:val="clear" w:color="auto" w:fill="auto"/>
            <w:noWrap/>
            <w:vAlign w:val="bottom"/>
            <w:hideMark/>
          </w:tcPr>
          <w:p w14:paraId="63459ADD"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8</w:t>
            </w:r>
          </w:p>
        </w:tc>
        <w:tc>
          <w:tcPr>
            <w:tcW w:w="663" w:type="dxa"/>
            <w:shd w:val="clear" w:color="auto" w:fill="auto"/>
            <w:noWrap/>
            <w:vAlign w:val="bottom"/>
            <w:hideMark/>
          </w:tcPr>
          <w:p w14:paraId="0052FB49"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9</w:t>
            </w:r>
          </w:p>
        </w:tc>
        <w:tc>
          <w:tcPr>
            <w:tcW w:w="663" w:type="dxa"/>
            <w:shd w:val="clear" w:color="auto" w:fill="auto"/>
            <w:noWrap/>
            <w:vAlign w:val="bottom"/>
            <w:hideMark/>
          </w:tcPr>
          <w:p w14:paraId="0A7EE1AF"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9</w:t>
            </w:r>
          </w:p>
        </w:tc>
        <w:tc>
          <w:tcPr>
            <w:tcW w:w="663" w:type="dxa"/>
            <w:shd w:val="clear" w:color="auto" w:fill="auto"/>
            <w:noWrap/>
            <w:vAlign w:val="bottom"/>
            <w:hideMark/>
          </w:tcPr>
          <w:p w14:paraId="40A4B8F6"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11</w:t>
            </w:r>
          </w:p>
        </w:tc>
        <w:tc>
          <w:tcPr>
            <w:tcW w:w="663" w:type="dxa"/>
            <w:shd w:val="clear" w:color="auto" w:fill="auto"/>
            <w:noWrap/>
            <w:vAlign w:val="bottom"/>
            <w:hideMark/>
          </w:tcPr>
          <w:p w14:paraId="0A589B0A"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11</w:t>
            </w:r>
          </w:p>
        </w:tc>
        <w:tc>
          <w:tcPr>
            <w:tcW w:w="663" w:type="dxa"/>
            <w:shd w:val="clear" w:color="auto" w:fill="auto"/>
            <w:noWrap/>
            <w:vAlign w:val="bottom"/>
            <w:hideMark/>
          </w:tcPr>
          <w:p w14:paraId="0440857C"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5</w:t>
            </w:r>
          </w:p>
        </w:tc>
        <w:tc>
          <w:tcPr>
            <w:tcW w:w="663" w:type="dxa"/>
            <w:shd w:val="clear" w:color="auto" w:fill="auto"/>
            <w:noWrap/>
            <w:vAlign w:val="bottom"/>
            <w:hideMark/>
          </w:tcPr>
          <w:p w14:paraId="3A4D9806"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5</w:t>
            </w:r>
          </w:p>
        </w:tc>
        <w:tc>
          <w:tcPr>
            <w:tcW w:w="1180" w:type="dxa"/>
            <w:shd w:val="clear" w:color="auto" w:fill="auto"/>
            <w:noWrap/>
            <w:vAlign w:val="bottom"/>
            <w:hideMark/>
          </w:tcPr>
          <w:p w14:paraId="4DCDFDF0"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118</w:t>
            </w:r>
          </w:p>
        </w:tc>
      </w:tr>
      <w:tr w:rsidR="00BD4D02" w:rsidRPr="00BD4D02" w14:paraId="6F76A08A" w14:textId="77777777" w:rsidTr="00050580">
        <w:trPr>
          <w:trHeight w:val="144"/>
        </w:trPr>
        <w:tc>
          <w:tcPr>
            <w:tcW w:w="4500" w:type="dxa"/>
            <w:shd w:val="clear" w:color="auto" w:fill="auto"/>
            <w:noWrap/>
            <w:vAlign w:val="bottom"/>
            <w:hideMark/>
          </w:tcPr>
          <w:p w14:paraId="291DA72A" w14:textId="77777777" w:rsidR="00BD4D02" w:rsidRPr="00BD4D02" w:rsidRDefault="00BD4D02" w:rsidP="00BD4D02">
            <w:pPr>
              <w:ind w:firstLineChars="100" w:firstLine="201"/>
              <w:rPr>
                <w:rFonts w:ascii="Calibri" w:hAnsi="Calibri" w:cs="Calibri"/>
                <w:b/>
                <w:bCs/>
                <w:color w:val="000000"/>
                <w:sz w:val="20"/>
                <w:szCs w:val="20"/>
              </w:rPr>
            </w:pPr>
            <w:r w:rsidRPr="00BD4D02">
              <w:rPr>
                <w:rFonts w:ascii="Calibri" w:hAnsi="Calibri" w:cs="Calibri"/>
                <w:b/>
                <w:bCs/>
                <w:color w:val="000000"/>
                <w:sz w:val="20"/>
                <w:szCs w:val="20"/>
              </w:rPr>
              <w:t>Canadian content - program hours</w:t>
            </w:r>
          </w:p>
        </w:tc>
        <w:tc>
          <w:tcPr>
            <w:tcW w:w="770" w:type="dxa"/>
            <w:shd w:val="clear" w:color="auto" w:fill="auto"/>
            <w:noWrap/>
            <w:vAlign w:val="bottom"/>
            <w:hideMark/>
          </w:tcPr>
          <w:p w14:paraId="71A2BBB7"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w:t>
            </w:r>
          </w:p>
        </w:tc>
        <w:tc>
          <w:tcPr>
            <w:tcW w:w="663" w:type="dxa"/>
            <w:shd w:val="clear" w:color="auto" w:fill="auto"/>
            <w:noWrap/>
            <w:vAlign w:val="bottom"/>
            <w:hideMark/>
          </w:tcPr>
          <w:p w14:paraId="0B0843EF"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w:t>
            </w:r>
          </w:p>
        </w:tc>
        <w:tc>
          <w:tcPr>
            <w:tcW w:w="663" w:type="dxa"/>
            <w:shd w:val="clear" w:color="auto" w:fill="auto"/>
            <w:noWrap/>
            <w:vAlign w:val="bottom"/>
            <w:hideMark/>
          </w:tcPr>
          <w:p w14:paraId="5722E364"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w:t>
            </w:r>
          </w:p>
        </w:tc>
        <w:tc>
          <w:tcPr>
            <w:tcW w:w="663" w:type="dxa"/>
            <w:shd w:val="clear" w:color="auto" w:fill="auto"/>
            <w:noWrap/>
            <w:vAlign w:val="bottom"/>
            <w:hideMark/>
          </w:tcPr>
          <w:p w14:paraId="707A5CAD"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w:t>
            </w:r>
          </w:p>
        </w:tc>
        <w:tc>
          <w:tcPr>
            <w:tcW w:w="663" w:type="dxa"/>
            <w:shd w:val="clear" w:color="auto" w:fill="auto"/>
            <w:noWrap/>
            <w:vAlign w:val="bottom"/>
            <w:hideMark/>
          </w:tcPr>
          <w:p w14:paraId="21424186"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w:t>
            </w:r>
          </w:p>
        </w:tc>
        <w:tc>
          <w:tcPr>
            <w:tcW w:w="663" w:type="dxa"/>
            <w:shd w:val="clear" w:color="auto" w:fill="auto"/>
            <w:noWrap/>
            <w:vAlign w:val="bottom"/>
            <w:hideMark/>
          </w:tcPr>
          <w:p w14:paraId="05D88215" w14:textId="77777777" w:rsidR="00BD4D02" w:rsidRPr="00BD4D02" w:rsidRDefault="00BD4D02" w:rsidP="00BD4D02">
            <w:pPr>
              <w:jc w:val="right"/>
              <w:rPr>
                <w:rFonts w:ascii="Calibri" w:hAnsi="Calibri" w:cs="Calibri"/>
                <w:b/>
                <w:bCs/>
                <w:color w:val="000000"/>
                <w:sz w:val="20"/>
                <w:szCs w:val="20"/>
              </w:rPr>
            </w:pPr>
          </w:p>
        </w:tc>
        <w:tc>
          <w:tcPr>
            <w:tcW w:w="663" w:type="dxa"/>
            <w:shd w:val="clear" w:color="auto" w:fill="auto"/>
            <w:noWrap/>
            <w:vAlign w:val="bottom"/>
            <w:hideMark/>
          </w:tcPr>
          <w:p w14:paraId="5E030F48" w14:textId="77777777" w:rsidR="00BD4D02" w:rsidRPr="00BD4D02" w:rsidRDefault="00BD4D02" w:rsidP="00BD4D02">
            <w:pPr>
              <w:rPr>
                <w:sz w:val="20"/>
                <w:szCs w:val="20"/>
              </w:rPr>
            </w:pPr>
          </w:p>
        </w:tc>
        <w:tc>
          <w:tcPr>
            <w:tcW w:w="663" w:type="dxa"/>
            <w:shd w:val="clear" w:color="auto" w:fill="auto"/>
            <w:noWrap/>
            <w:vAlign w:val="bottom"/>
            <w:hideMark/>
          </w:tcPr>
          <w:p w14:paraId="366E2B14" w14:textId="77777777" w:rsidR="00BD4D02" w:rsidRPr="00BD4D02" w:rsidRDefault="00BD4D02" w:rsidP="00BD4D02">
            <w:pPr>
              <w:rPr>
                <w:sz w:val="20"/>
                <w:szCs w:val="20"/>
              </w:rPr>
            </w:pPr>
          </w:p>
        </w:tc>
        <w:tc>
          <w:tcPr>
            <w:tcW w:w="663" w:type="dxa"/>
            <w:shd w:val="clear" w:color="auto" w:fill="auto"/>
            <w:noWrap/>
            <w:vAlign w:val="bottom"/>
            <w:hideMark/>
          </w:tcPr>
          <w:p w14:paraId="3B7763A6" w14:textId="77777777" w:rsidR="00BD4D02" w:rsidRPr="00BD4D02" w:rsidRDefault="00BD4D02" w:rsidP="00BD4D02">
            <w:pPr>
              <w:rPr>
                <w:sz w:val="20"/>
                <w:szCs w:val="20"/>
              </w:rPr>
            </w:pPr>
          </w:p>
        </w:tc>
        <w:tc>
          <w:tcPr>
            <w:tcW w:w="663" w:type="dxa"/>
            <w:shd w:val="clear" w:color="auto" w:fill="auto"/>
            <w:noWrap/>
            <w:vAlign w:val="bottom"/>
            <w:hideMark/>
          </w:tcPr>
          <w:p w14:paraId="6E36B8C9" w14:textId="77777777" w:rsidR="00BD4D02" w:rsidRPr="00BD4D02" w:rsidRDefault="00BD4D02" w:rsidP="00BD4D02">
            <w:pPr>
              <w:rPr>
                <w:sz w:val="20"/>
                <w:szCs w:val="20"/>
              </w:rPr>
            </w:pPr>
          </w:p>
        </w:tc>
        <w:tc>
          <w:tcPr>
            <w:tcW w:w="663" w:type="dxa"/>
            <w:shd w:val="clear" w:color="auto" w:fill="auto"/>
            <w:noWrap/>
            <w:vAlign w:val="bottom"/>
            <w:hideMark/>
          </w:tcPr>
          <w:p w14:paraId="445BDCEC" w14:textId="77777777" w:rsidR="00BD4D02" w:rsidRPr="00BD4D02" w:rsidRDefault="00BD4D02" w:rsidP="00BD4D02">
            <w:pPr>
              <w:rPr>
                <w:sz w:val="20"/>
                <w:szCs w:val="20"/>
              </w:rPr>
            </w:pPr>
          </w:p>
        </w:tc>
        <w:tc>
          <w:tcPr>
            <w:tcW w:w="663" w:type="dxa"/>
            <w:shd w:val="clear" w:color="auto" w:fill="auto"/>
            <w:noWrap/>
            <w:vAlign w:val="bottom"/>
            <w:hideMark/>
          </w:tcPr>
          <w:p w14:paraId="133724C6" w14:textId="77777777" w:rsidR="00BD4D02" w:rsidRPr="00BD4D02" w:rsidRDefault="00BD4D02" w:rsidP="00BD4D02">
            <w:pPr>
              <w:rPr>
                <w:sz w:val="20"/>
                <w:szCs w:val="20"/>
              </w:rPr>
            </w:pPr>
          </w:p>
        </w:tc>
        <w:tc>
          <w:tcPr>
            <w:tcW w:w="1180" w:type="dxa"/>
            <w:shd w:val="clear" w:color="auto" w:fill="auto"/>
            <w:noWrap/>
            <w:vAlign w:val="bottom"/>
            <w:hideMark/>
          </w:tcPr>
          <w:p w14:paraId="458A8E01"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5</w:t>
            </w:r>
          </w:p>
        </w:tc>
      </w:tr>
      <w:tr w:rsidR="00BD4D02" w:rsidRPr="00BD4D02" w14:paraId="2B7F9CF6" w14:textId="77777777" w:rsidTr="00050580">
        <w:trPr>
          <w:trHeight w:val="144"/>
        </w:trPr>
        <w:tc>
          <w:tcPr>
            <w:tcW w:w="4500" w:type="dxa"/>
            <w:shd w:val="clear" w:color="auto" w:fill="FFFF00"/>
            <w:noWrap/>
            <w:vAlign w:val="bottom"/>
            <w:hideMark/>
          </w:tcPr>
          <w:p w14:paraId="34F9C8B7"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Priority programming hours</w:t>
            </w:r>
          </w:p>
        </w:tc>
        <w:tc>
          <w:tcPr>
            <w:tcW w:w="770" w:type="dxa"/>
            <w:shd w:val="clear" w:color="auto" w:fill="FFFF00"/>
            <w:noWrap/>
            <w:vAlign w:val="bottom"/>
            <w:hideMark/>
          </w:tcPr>
          <w:p w14:paraId="6D95F49C"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FFFF00"/>
            <w:noWrap/>
            <w:vAlign w:val="bottom"/>
            <w:hideMark/>
          </w:tcPr>
          <w:p w14:paraId="2CD60699"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FFFF00"/>
            <w:noWrap/>
            <w:vAlign w:val="bottom"/>
            <w:hideMark/>
          </w:tcPr>
          <w:p w14:paraId="29C7F439"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FFFF00"/>
            <w:noWrap/>
            <w:vAlign w:val="bottom"/>
            <w:hideMark/>
          </w:tcPr>
          <w:p w14:paraId="76F103F9"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FFFF00"/>
            <w:noWrap/>
            <w:vAlign w:val="bottom"/>
            <w:hideMark/>
          </w:tcPr>
          <w:p w14:paraId="17325C6C"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0210638B"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49C789D6" w14:textId="77777777" w:rsidR="00BD4D02" w:rsidRPr="00BD4D02" w:rsidRDefault="00BD4D02" w:rsidP="00BD4D02">
            <w:pPr>
              <w:rPr>
                <w:sz w:val="20"/>
                <w:szCs w:val="20"/>
              </w:rPr>
            </w:pPr>
          </w:p>
        </w:tc>
        <w:tc>
          <w:tcPr>
            <w:tcW w:w="663" w:type="dxa"/>
            <w:shd w:val="clear" w:color="auto" w:fill="auto"/>
            <w:noWrap/>
            <w:vAlign w:val="bottom"/>
            <w:hideMark/>
          </w:tcPr>
          <w:p w14:paraId="06FFB562" w14:textId="77777777" w:rsidR="00BD4D02" w:rsidRPr="00BD4D02" w:rsidRDefault="00BD4D02" w:rsidP="00BD4D02">
            <w:pPr>
              <w:rPr>
                <w:sz w:val="20"/>
                <w:szCs w:val="20"/>
              </w:rPr>
            </w:pPr>
          </w:p>
        </w:tc>
        <w:tc>
          <w:tcPr>
            <w:tcW w:w="663" w:type="dxa"/>
            <w:shd w:val="clear" w:color="auto" w:fill="auto"/>
            <w:noWrap/>
            <w:vAlign w:val="bottom"/>
            <w:hideMark/>
          </w:tcPr>
          <w:p w14:paraId="1ADE2488" w14:textId="77777777" w:rsidR="00BD4D02" w:rsidRPr="00BD4D02" w:rsidRDefault="00BD4D02" w:rsidP="00BD4D02">
            <w:pPr>
              <w:rPr>
                <w:sz w:val="20"/>
                <w:szCs w:val="20"/>
              </w:rPr>
            </w:pPr>
          </w:p>
        </w:tc>
        <w:tc>
          <w:tcPr>
            <w:tcW w:w="663" w:type="dxa"/>
            <w:shd w:val="clear" w:color="auto" w:fill="auto"/>
            <w:noWrap/>
            <w:vAlign w:val="bottom"/>
            <w:hideMark/>
          </w:tcPr>
          <w:p w14:paraId="572C2429" w14:textId="77777777" w:rsidR="00BD4D02" w:rsidRPr="00BD4D02" w:rsidRDefault="00BD4D02" w:rsidP="00BD4D02">
            <w:pPr>
              <w:rPr>
                <w:sz w:val="20"/>
                <w:szCs w:val="20"/>
              </w:rPr>
            </w:pPr>
          </w:p>
        </w:tc>
        <w:tc>
          <w:tcPr>
            <w:tcW w:w="663" w:type="dxa"/>
            <w:shd w:val="clear" w:color="auto" w:fill="auto"/>
            <w:noWrap/>
            <w:vAlign w:val="bottom"/>
            <w:hideMark/>
          </w:tcPr>
          <w:p w14:paraId="53741FEC" w14:textId="77777777" w:rsidR="00BD4D02" w:rsidRPr="00BD4D02" w:rsidRDefault="00BD4D02" w:rsidP="00BD4D02">
            <w:pPr>
              <w:rPr>
                <w:sz w:val="20"/>
                <w:szCs w:val="20"/>
              </w:rPr>
            </w:pPr>
          </w:p>
        </w:tc>
        <w:tc>
          <w:tcPr>
            <w:tcW w:w="663" w:type="dxa"/>
            <w:shd w:val="clear" w:color="auto" w:fill="auto"/>
            <w:noWrap/>
            <w:vAlign w:val="bottom"/>
            <w:hideMark/>
          </w:tcPr>
          <w:p w14:paraId="28F97136" w14:textId="77777777" w:rsidR="00BD4D02" w:rsidRPr="00BD4D02" w:rsidRDefault="00BD4D02" w:rsidP="00BD4D02">
            <w:pPr>
              <w:rPr>
                <w:sz w:val="20"/>
                <w:szCs w:val="20"/>
              </w:rPr>
            </w:pPr>
          </w:p>
        </w:tc>
        <w:tc>
          <w:tcPr>
            <w:tcW w:w="1180" w:type="dxa"/>
            <w:shd w:val="clear" w:color="auto" w:fill="auto"/>
            <w:noWrap/>
            <w:vAlign w:val="bottom"/>
            <w:hideMark/>
          </w:tcPr>
          <w:p w14:paraId="0478DB3E"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5</w:t>
            </w:r>
          </w:p>
        </w:tc>
      </w:tr>
      <w:tr w:rsidR="00BD4D02" w:rsidRPr="00BD4D02" w14:paraId="7C14EE77" w14:textId="77777777" w:rsidTr="00050580">
        <w:trPr>
          <w:trHeight w:val="144"/>
        </w:trPr>
        <w:tc>
          <w:tcPr>
            <w:tcW w:w="4500" w:type="dxa"/>
            <w:shd w:val="clear" w:color="auto" w:fill="auto"/>
            <w:noWrap/>
            <w:vAlign w:val="bottom"/>
            <w:hideMark/>
          </w:tcPr>
          <w:p w14:paraId="59B54F20" w14:textId="77777777" w:rsidR="00BD4D02" w:rsidRPr="00BD4D02" w:rsidRDefault="00BD4D02" w:rsidP="00BD4D02">
            <w:pPr>
              <w:ind w:firstLineChars="100" w:firstLine="201"/>
              <w:rPr>
                <w:rFonts w:ascii="Calibri" w:hAnsi="Calibri" w:cs="Calibri"/>
                <w:b/>
                <w:bCs/>
                <w:color w:val="000000"/>
                <w:sz w:val="20"/>
                <w:szCs w:val="20"/>
              </w:rPr>
            </w:pPr>
            <w:r w:rsidRPr="00BD4D02">
              <w:rPr>
                <w:rFonts w:ascii="Calibri" w:hAnsi="Calibri" w:cs="Calibri"/>
                <w:b/>
                <w:bCs/>
                <w:color w:val="000000"/>
                <w:sz w:val="20"/>
                <w:szCs w:val="20"/>
              </w:rPr>
              <w:t>Canadian content - financial support</w:t>
            </w:r>
          </w:p>
        </w:tc>
        <w:tc>
          <w:tcPr>
            <w:tcW w:w="770" w:type="dxa"/>
            <w:shd w:val="clear" w:color="auto" w:fill="auto"/>
            <w:noWrap/>
            <w:vAlign w:val="bottom"/>
            <w:hideMark/>
          </w:tcPr>
          <w:p w14:paraId="1BA95C96"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11</w:t>
            </w:r>
          </w:p>
        </w:tc>
        <w:tc>
          <w:tcPr>
            <w:tcW w:w="663" w:type="dxa"/>
            <w:shd w:val="clear" w:color="auto" w:fill="auto"/>
            <w:noWrap/>
            <w:vAlign w:val="bottom"/>
            <w:hideMark/>
          </w:tcPr>
          <w:p w14:paraId="4B51B7CA"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11</w:t>
            </w:r>
          </w:p>
        </w:tc>
        <w:tc>
          <w:tcPr>
            <w:tcW w:w="663" w:type="dxa"/>
            <w:shd w:val="clear" w:color="auto" w:fill="auto"/>
            <w:noWrap/>
            <w:vAlign w:val="bottom"/>
            <w:hideMark/>
          </w:tcPr>
          <w:p w14:paraId="19049D4C"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11</w:t>
            </w:r>
          </w:p>
        </w:tc>
        <w:tc>
          <w:tcPr>
            <w:tcW w:w="663" w:type="dxa"/>
            <w:shd w:val="clear" w:color="auto" w:fill="auto"/>
            <w:noWrap/>
            <w:vAlign w:val="bottom"/>
            <w:hideMark/>
          </w:tcPr>
          <w:p w14:paraId="61132913"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10</w:t>
            </w:r>
          </w:p>
        </w:tc>
        <w:tc>
          <w:tcPr>
            <w:tcW w:w="663" w:type="dxa"/>
            <w:shd w:val="clear" w:color="auto" w:fill="auto"/>
            <w:noWrap/>
            <w:vAlign w:val="bottom"/>
            <w:hideMark/>
          </w:tcPr>
          <w:p w14:paraId="371BAE25"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10</w:t>
            </w:r>
          </w:p>
        </w:tc>
        <w:tc>
          <w:tcPr>
            <w:tcW w:w="663" w:type="dxa"/>
            <w:shd w:val="clear" w:color="auto" w:fill="auto"/>
            <w:noWrap/>
            <w:vAlign w:val="bottom"/>
            <w:hideMark/>
          </w:tcPr>
          <w:p w14:paraId="3BF49F07"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15</w:t>
            </w:r>
          </w:p>
        </w:tc>
        <w:tc>
          <w:tcPr>
            <w:tcW w:w="663" w:type="dxa"/>
            <w:shd w:val="clear" w:color="auto" w:fill="auto"/>
            <w:noWrap/>
            <w:vAlign w:val="bottom"/>
            <w:hideMark/>
          </w:tcPr>
          <w:p w14:paraId="3285A45D"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17</w:t>
            </w:r>
          </w:p>
        </w:tc>
        <w:tc>
          <w:tcPr>
            <w:tcW w:w="663" w:type="dxa"/>
            <w:shd w:val="clear" w:color="auto" w:fill="auto"/>
            <w:noWrap/>
            <w:vAlign w:val="bottom"/>
            <w:hideMark/>
          </w:tcPr>
          <w:p w14:paraId="4BFF4EF0"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19</w:t>
            </w:r>
          </w:p>
        </w:tc>
        <w:tc>
          <w:tcPr>
            <w:tcW w:w="663" w:type="dxa"/>
            <w:shd w:val="clear" w:color="auto" w:fill="auto"/>
            <w:noWrap/>
            <w:vAlign w:val="bottom"/>
            <w:hideMark/>
          </w:tcPr>
          <w:p w14:paraId="1C842E26"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20</w:t>
            </w:r>
          </w:p>
        </w:tc>
        <w:tc>
          <w:tcPr>
            <w:tcW w:w="663" w:type="dxa"/>
            <w:shd w:val="clear" w:color="auto" w:fill="auto"/>
            <w:noWrap/>
            <w:vAlign w:val="bottom"/>
            <w:hideMark/>
          </w:tcPr>
          <w:p w14:paraId="15EB1CEF"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20</w:t>
            </w:r>
          </w:p>
        </w:tc>
        <w:tc>
          <w:tcPr>
            <w:tcW w:w="663" w:type="dxa"/>
            <w:shd w:val="clear" w:color="auto" w:fill="auto"/>
            <w:noWrap/>
            <w:vAlign w:val="bottom"/>
            <w:hideMark/>
          </w:tcPr>
          <w:p w14:paraId="77C1A7FB"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9</w:t>
            </w:r>
          </w:p>
        </w:tc>
        <w:tc>
          <w:tcPr>
            <w:tcW w:w="663" w:type="dxa"/>
            <w:shd w:val="clear" w:color="auto" w:fill="auto"/>
            <w:noWrap/>
            <w:vAlign w:val="bottom"/>
            <w:hideMark/>
          </w:tcPr>
          <w:p w14:paraId="5B563A00"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11</w:t>
            </w:r>
          </w:p>
        </w:tc>
        <w:tc>
          <w:tcPr>
            <w:tcW w:w="1180" w:type="dxa"/>
            <w:shd w:val="clear" w:color="auto" w:fill="auto"/>
            <w:noWrap/>
            <w:vAlign w:val="bottom"/>
            <w:hideMark/>
          </w:tcPr>
          <w:p w14:paraId="15FBE88C"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164</w:t>
            </w:r>
          </w:p>
        </w:tc>
      </w:tr>
      <w:tr w:rsidR="00BD4D02" w:rsidRPr="00BD4D02" w14:paraId="13A0417E" w14:textId="77777777" w:rsidTr="00050580">
        <w:trPr>
          <w:trHeight w:val="144"/>
        </w:trPr>
        <w:tc>
          <w:tcPr>
            <w:tcW w:w="4500" w:type="dxa"/>
            <w:shd w:val="clear" w:color="auto" w:fill="auto"/>
            <w:noWrap/>
            <w:vAlign w:val="bottom"/>
            <w:hideMark/>
          </w:tcPr>
          <w:p w14:paraId="4A0D407E"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BDUs - recipients</w:t>
            </w:r>
          </w:p>
        </w:tc>
        <w:tc>
          <w:tcPr>
            <w:tcW w:w="770" w:type="dxa"/>
            <w:shd w:val="clear" w:color="auto" w:fill="auto"/>
            <w:noWrap/>
            <w:vAlign w:val="bottom"/>
            <w:hideMark/>
          </w:tcPr>
          <w:p w14:paraId="797005F3"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59A135DC" w14:textId="77777777" w:rsidR="00BD4D02" w:rsidRPr="00BD4D02" w:rsidRDefault="00BD4D02" w:rsidP="00BD4D02">
            <w:pPr>
              <w:rPr>
                <w:sz w:val="20"/>
                <w:szCs w:val="20"/>
              </w:rPr>
            </w:pPr>
          </w:p>
        </w:tc>
        <w:tc>
          <w:tcPr>
            <w:tcW w:w="663" w:type="dxa"/>
            <w:shd w:val="clear" w:color="auto" w:fill="auto"/>
            <w:noWrap/>
            <w:vAlign w:val="bottom"/>
            <w:hideMark/>
          </w:tcPr>
          <w:p w14:paraId="189C190F" w14:textId="77777777" w:rsidR="00BD4D02" w:rsidRPr="00BD4D02" w:rsidRDefault="00BD4D02" w:rsidP="00BD4D02">
            <w:pPr>
              <w:rPr>
                <w:sz w:val="20"/>
                <w:szCs w:val="20"/>
              </w:rPr>
            </w:pPr>
          </w:p>
        </w:tc>
        <w:tc>
          <w:tcPr>
            <w:tcW w:w="663" w:type="dxa"/>
            <w:shd w:val="clear" w:color="auto" w:fill="auto"/>
            <w:noWrap/>
            <w:vAlign w:val="bottom"/>
            <w:hideMark/>
          </w:tcPr>
          <w:p w14:paraId="377A09A6" w14:textId="77777777" w:rsidR="00BD4D02" w:rsidRPr="00BD4D02" w:rsidRDefault="00BD4D02" w:rsidP="00BD4D02">
            <w:pPr>
              <w:rPr>
                <w:sz w:val="20"/>
                <w:szCs w:val="20"/>
              </w:rPr>
            </w:pPr>
          </w:p>
        </w:tc>
        <w:tc>
          <w:tcPr>
            <w:tcW w:w="663" w:type="dxa"/>
            <w:shd w:val="clear" w:color="auto" w:fill="auto"/>
            <w:noWrap/>
            <w:vAlign w:val="bottom"/>
            <w:hideMark/>
          </w:tcPr>
          <w:p w14:paraId="5FD0FDCB" w14:textId="77777777" w:rsidR="00BD4D02" w:rsidRPr="00BD4D02" w:rsidRDefault="00BD4D02" w:rsidP="00BD4D02">
            <w:pPr>
              <w:rPr>
                <w:sz w:val="20"/>
                <w:szCs w:val="20"/>
              </w:rPr>
            </w:pPr>
          </w:p>
        </w:tc>
        <w:tc>
          <w:tcPr>
            <w:tcW w:w="663" w:type="dxa"/>
            <w:shd w:val="clear" w:color="auto" w:fill="auto"/>
            <w:noWrap/>
            <w:vAlign w:val="bottom"/>
            <w:hideMark/>
          </w:tcPr>
          <w:p w14:paraId="6FA54270" w14:textId="77777777" w:rsidR="00BD4D02" w:rsidRPr="00BD4D02" w:rsidRDefault="00BD4D02" w:rsidP="00BD4D02">
            <w:pPr>
              <w:rPr>
                <w:sz w:val="20"/>
                <w:szCs w:val="20"/>
              </w:rPr>
            </w:pPr>
          </w:p>
        </w:tc>
        <w:tc>
          <w:tcPr>
            <w:tcW w:w="663" w:type="dxa"/>
            <w:shd w:val="clear" w:color="auto" w:fill="auto"/>
            <w:noWrap/>
            <w:vAlign w:val="bottom"/>
            <w:hideMark/>
          </w:tcPr>
          <w:p w14:paraId="31F2BFE5" w14:textId="77777777" w:rsidR="00BD4D02" w:rsidRPr="00BD4D02" w:rsidRDefault="00BD4D02" w:rsidP="00BD4D02">
            <w:pPr>
              <w:rPr>
                <w:sz w:val="20"/>
                <w:szCs w:val="20"/>
              </w:rPr>
            </w:pPr>
          </w:p>
        </w:tc>
        <w:tc>
          <w:tcPr>
            <w:tcW w:w="663" w:type="dxa"/>
            <w:shd w:val="clear" w:color="auto" w:fill="auto"/>
            <w:noWrap/>
            <w:vAlign w:val="bottom"/>
            <w:hideMark/>
          </w:tcPr>
          <w:p w14:paraId="48B87BBF" w14:textId="77777777" w:rsidR="00BD4D02" w:rsidRPr="00BD4D02" w:rsidRDefault="00BD4D02" w:rsidP="00BD4D02">
            <w:pPr>
              <w:rPr>
                <w:sz w:val="20"/>
                <w:szCs w:val="20"/>
              </w:rPr>
            </w:pPr>
          </w:p>
        </w:tc>
        <w:tc>
          <w:tcPr>
            <w:tcW w:w="663" w:type="dxa"/>
            <w:shd w:val="clear" w:color="auto" w:fill="auto"/>
            <w:noWrap/>
            <w:vAlign w:val="bottom"/>
            <w:hideMark/>
          </w:tcPr>
          <w:p w14:paraId="68703A22"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34730BD6"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3C99D048"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73D8353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1180" w:type="dxa"/>
            <w:shd w:val="clear" w:color="auto" w:fill="auto"/>
            <w:noWrap/>
            <w:vAlign w:val="bottom"/>
            <w:hideMark/>
          </w:tcPr>
          <w:p w14:paraId="487D8D3D"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5</w:t>
            </w:r>
          </w:p>
        </w:tc>
      </w:tr>
      <w:tr w:rsidR="00BD4D02" w:rsidRPr="00BD4D02" w14:paraId="154A14B9" w14:textId="77777777" w:rsidTr="00050580">
        <w:trPr>
          <w:trHeight w:val="144"/>
        </w:trPr>
        <w:tc>
          <w:tcPr>
            <w:tcW w:w="4500" w:type="dxa"/>
            <w:shd w:val="clear" w:color="auto" w:fill="auto"/>
            <w:noWrap/>
            <w:vAlign w:val="bottom"/>
            <w:hideMark/>
          </w:tcPr>
          <w:p w14:paraId="05FD3A92"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BDUs - remittance to funds</w:t>
            </w:r>
          </w:p>
        </w:tc>
        <w:tc>
          <w:tcPr>
            <w:tcW w:w="770" w:type="dxa"/>
            <w:shd w:val="clear" w:color="auto" w:fill="auto"/>
            <w:noWrap/>
            <w:vAlign w:val="bottom"/>
            <w:hideMark/>
          </w:tcPr>
          <w:p w14:paraId="5EBCA49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06022AFE"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1C37FD5C"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2AFF76E8"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25817CDF"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73A041A3"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6603071E"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1D350250"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15A66692"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2BB9A8A9" w14:textId="77777777" w:rsidR="00BD4D02" w:rsidRPr="00BD4D02" w:rsidRDefault="00BD4D02" w:rsidP="00BD4D02">
            <w:pPr>
              <w:rPr>
                <w:sz w:val="20"/>
                <w:szCs w:val="20"/>
              </w:rPr>
            </w:pPr>
          </w:p>
        </w:tc>
        <w:tc>
          <w:tcPr>
            <w:tcW w:w="663" w:type="dxa"/>
            <w:shd w:val="clear" w:color="auto" w:fill="auto"/>
            <w:noWrap/>
            <w:vAlign w:val="bottom"/>
            <w:hideMark/>
          </w:tcPr>
          <w:p w14:paraId="0C882906" w14:textId="77777777" w:rsidR="00BD4D02" w:rsidRPr="00BD4D02" w:rsidRDefault="00BD4D02" w:rsidP="00BD4D02">
            <w:pPr>
              <w:rPr>
                <w:sz w:val="20"/>
                <w:szCs w:val="20"/>
              </w:rPr>
            </w:pPr>
          </w:p>
        </w:tc>
        <w:tc>
          <w:tcPr>
            <w:tcW w:w="663" w:type="dxa"/>
            <w:shd w:val="clear" w:color="auto" w:fill="auto"/>
            <w:noWrap/>
            <w:vAlign w:val="bottom"/>
            <w:hideMark/>
          </w:tcPr>
          <w:p w14:paraId="5E9A858C" w14:textId="77777777" w:rsidR="00BD4D02" w:rsidRPr="00BD4D02" w:rsidRDefault="00BD4D02" w:rsidP="00BD4D02">
            <w:pPr>
              <w:rPr>
                <w:sz w:val="20"/>
                <w:szCs w:val="20"/>
              </w:rPr>
            </w:pPr>
          </w:p>
        </w:tc>
        <w:tc>
          <w:tcPr>
            <w:tcW w:w="1180" w:type="dxa"/>
            <w:shd w:val="clear" w:color="auto" w:fill="auto"/>
            <w:noWrap/>
            <w:vAlign w:val="bottom"/>
            <w:hideMark/>
          </w:tcPr>
          <w:p w14:paraId="690238CE"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14</w:t>
            </w:r>
          </w:p>
        </w:tc>
      </w:tr>
      <w:tr w:rsidR="00BD4D02" w:rsidRPr="00BD4D02" w14:paraId="6F64959C" w14:textId="77777777" w:rsidTr="00050580">
        <w:trPr>
          <w:trHeight w:val="144"/>
        </w:trPr>
        <w:tc>
          <w:tcPr>
            <w:tcW w:w="4500" w:type="dxa"/>
            <w:shd w:val="clear" w:color="auto" w:fill="auto"/>
            <w:noWrap/>
            <w:vAlign w:val="bottom"/>
            <w:hideMark/>
          </w:tcPr>
          <w:p w14:paraId="5609C789"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Canadian content - expenditures</w:t>
            </w:r>
          </w:p>
        </w:tc>
        <w:tc>
          <w:tcPr>
            <w:tcW w:w="770" w:type="dxa"/>
            <w:shd w:val="clear" w:color="auto" w:fill="auto"/>
            <w:noWrap/>
            <w:vAlign w:val="bottom"/>
            <w:hideMark/>
          </w:tcPr>
          <w:p w14:paraId="5038B3CD"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2A56A1EE"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588EF4DC" w14:textId="77777777" w:rsidR="00BD4D02" w:rsidRPr="00BD4D02" w:rsidRDefault="00BD4D02" w:rsidP="00BD4D02">
            <w:pPr>
              <w:rPr>
                <w:sz w:val="20"/>
                <w:szCs w:val="20"/>
              </w:rPr>
            </w:pPr>
          </w:p>
        </w:tc>
        <w:tc>
          <w:tcPr>
            <w:tcW w:w="663" w:type="dxa"/>
            <w:shd w:val="clear" w:color="auto" w:fill="auto"/>
            <w:noWrap/>
            <w:vAlign w:val="bottom"/>
            <w:hideMark/>
          </w:tcPr>
          <w:p w14:paraId="7F548E1C" w14:textId="77777777" w:rsidR="00BD4D02" w:rsidRPr="00BD4D02" w:rsidRDefault="00BD4D02" w:rsidP="00BD4D02">
            <w:pPr>
              <w:rPr>
                <w:sz w:val="20"/>
                <w:szCs w:val="20"/>
              </w:rPr>
            </w:pPr>
          </w:p>
        </w:tc>
        <w:tc>
          <w:tcPr>
            <w:tcW w:w="663" w:type="dxa"/>
            <w:shd w:val="clear" w:color="auto" w:fill="auto"/>
            <w:noWrap/>
            <w:vAlign w:val="bottom"/>
            <w:hideMark/>
          </w:tcPr>
          <w:p w14:paraId="69DCC17B" w14:textId="77777777" w:rsidR="00BD4D02" w:rsidRPr="00BD4D02" w:rsidRDefault="00BD4D02" w:rsidP="00BD4D02">
            <w:pPr>
              <w:rPr>
                <w:sz w:val="20"/>
                <w:szCs w:val="20"/>
              </w:rPr>
            </w:pPr>
          </w:p>
        </w:tc>
        <w:tc>
          <w:tcPr>
            <w:tcW w:w="663" w:type="dxa"/>
            <w:shd w:val="clear" w:color="auto" w:fill="auto"/>
            <w:noWrap/>
            <w:vAlign w:val="bottom"/>
            <w:hideMark/>
          </w:tcPr>
          <w:p w14:paraId="54F76885"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3271922E"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4A01BCB6"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3FB16F54"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1508C1DC"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0C01CE52" w14:textId="77777777" w:rsidR="00BD4D02" w:rsidRPr="00BD4D02" w:rsidRDefault="00BD4D02" w:rsidP="00BD4D02">
            <w:pPr>
              <w:rPr>
                <w:sz w:val="20"/>
                <w:szCs w:val="20"/>
              </w:rPr>
            </w:pPr>
          </w:p>
        </w:tc>
        <w:tc>
          <w:tcPr>
            <w:tcW w:w="663" w:type="dxa"/>
            <w:shd w:val="clear" w:color="auto" w:fill="auto"/>
            <w:noWrap/>
            <w:vAlign w:val="bottom"/>
            <w:hideMark/>
          </w:tcPr>
          <w:p w14:paraId="3C54D883" w14:textId="77777777" w:rsidR="00BD4D02" w:rsidRPr="00BD4D02" w:rsidRDefault="00BD4D02" w:rsidP="00BD4D02">
            <w:pPr>
              <w:rPr>
                <w:sz w:val="20"/>
                <w:szCs w:val="20"/>
              </w:rPr>
            </w:pPr>
          </w:p>
        </w:tc>
        <w:tc>
          <w:tcPr>
            <w:tcW w:w="1180" w:type="dxa"/>
            <w:shd w:val="clear" w:color="auto" w:fill="auto"/>
            <w:noWrap/>
            <w:vAlign w:val="bottom"/>
            <w:hideMark/>
          </w:tcPr>
          <w:p w14:paraId="1E02E053"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5</w:t>
            </w:r>
          </w:p>
        </w:tc>
      </w:tr>
      <w:tr w:rsidR="00BD4D02" w:rsidRPr="00BD4D02" w14:paraId="46C3D959" w14:textId="77777777" w:rsidTr="00050580">
        <w:trPr>
          <w:trHeight w:val="144"/>
        </w:trPr>
        <w:tc>
          <w:tcPr>
            <w:tcW w:w="4500" w:type="dxa"/>
            <w:shd w:val="clear" w:color="auto" w:fill="auto"/>
            <w:noWrap/>
            <w:vAlign w:val="bottom"/>
            <w:hideMark/>
          </w:tcPr>
          <w:p w14:paraId="00CC6A20"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CCD</w:t>
            </w:r>
          </w:p>
        </w:tc>
        <w:tc>
          <w:tcPr>
            <w:tcW w:w="770" w:type="dxa"/>
            <w:shd w:val="clear" w:color="auto" w:fill="auto"/>
            <w:noWrap/>
            <w:vAlign w:val="bottom"/>
            <w:hideMark/>
          </w:tcPr>
          <w:p w14:paraId="3D100932"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2B3D8627"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725053F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0EB13339"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3F06D01F"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036B1ADE"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4</w:t>
            </w:r>
          </w:p>
        </w:tc>
        <w:tc>
          <w:tcPr>
            <w:tcW w:w="663" w:type="dxa"/>
            <w:shd w:val="clear" w:color="auto" w:fill="auto"/>
            <w:noWrap/>
            <w:vAlign w:val="bottom"/>
            <w:hideMark/>
          </w:tcPr>
          <w:p w14:paraId="3EF275D0"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4</w:t>
            </w:r>
          </w:p>
        </w:tc>
        <w:tc>
          <w:tcPr>
            <w:tcW w:w="663" w:type="dxa"/>
            <w:shd w:val="clear" w:color="auto" w:fill="auto"/>
            <w:noWrap/>
            <w:vAlign w:val="bottom"/>
            <w:hideMark/>
          </w:tcPr>
          <w:p w14:paraId="769E8B1E"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7</w:t>
            </w:r>
          </w:p>
        </w:tc>
        <w:tc>
          <w:tcPr>
            <w:tcW w:w="663" w:type="dxa"/>
            <w:shd w:val="clear" w:color="auto" w:fill="auto"/>
            <w:noWrap/>
            <w:vAlign w:val="bottom"/>
            <w:hideMark/>
          </w:tcPr>
          <w:p w14:paraId="3B4C06F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7</w:t>
            </w:r>
          </w:p>
        </w:tc>
        <w:tc>
          <w:tcPr>
            <w:tcW w:w="663" w:type="dxa"/>
            <w:shd w:val="clear" w:color="auto" w:fill="auto"/>
            <w:noWrap/>
            <w:vAlign w:val="bottom"/>
            <w:hideMark/>
          </w:tcPr>
          <w:p w14:paraId="6EB32DEE"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7</w:t>
            </w:r>
          </w:p>
        </w:tc>
        <w:tc>
          <w:tcPr>
            <w:tcW w:w="663" w:type="dxa"/>
            <w:shd w:val="clear" w:color="auto" w:fill="auto"/>
            <w:noWrap/>
            <w:vAlign w:val="bottom"/>
            <w:hideMark/>
          </w:tcPr>
          <w:p w14:paraId="6AF5F04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780EE3EC"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1180" w:type="dxa"/>
            <w:shd w:val="clear" w:color="auto" w:fill="auto"/>
            <w:noWrap/>
            <w:vAlign w:val="bottom"/>
            <w:hideMark/>
          </w:tcPr>
          <w:p w14:paraId="6E4ACDBE"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41</w:t>
            </w:r>
          </w:p>
        </w:tc>
      </w:tr>
      <w:tr w:rsidR="00BD4D02" w:rsidRPr="00BD4D02" w14:paraId="35AFBD2A" w14:textId="77777777" w:rsidTr="00050580">
        <w:trPr>
          <w:trHeight w:val="144"/>
        </w:trPr>
        <w:tc>
          <w:tcPr>
            <w:tcW w:w="4500" w:type="dxa"/>
            <w:shd w:val="clear" w:color="auto" w:fill="auto"/>
            <w:noWrap/>
            <w:vAlign w:val="bottom"/>
            <w:hideMark/>
          </w:tcPr>
          <w:p w14:paraId="627617C0"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CPE</w:t>
            </w:r>
          </w:p>
        </w:tc>
        <w:tc>
          <w:tcPr>
            <w:tcW w:w="770" w:type="dxa"/>
            <w:shd w:val="clear" w:color="auto" w:fill="auto"/>
            <w:noWrap/>
            <w:vAlign w:val="bottom"/>
            <w:hideMark/>
          </w:tcPr>
          <w:p w14:paraId="677A1A95"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5</w:t>
            </w:r>
          </w:p>
        </w:tc>
        <w:tc>
          <w:tcPr>
            <w:tcW w:w="663" w:type="dxa"/>
            <w:shd w:val="clear" w:color="auto" w:fill="auto"/>
            <w:noWrap/>
            <w:vAlign w:val="bottom"/>
            <w:hideMark/>
          </w:tcPr>
          <w:p w14:paraId="525AAD4E"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5</w:t>
            </w:r>
          </w:p>
        </w:tc>
        <w:tc>
          <w:tcPr>
            <w:tcW w:w="663" w:type="dxa"/>
            <w:shd w:val="clear" w:color="auto" w:fill="auto"/>
            <w:noWrap/>
            <w:vAlign w:val="bottom"/>
            <w:hideMark/>
          </w:tcPr>
          <w:p w14:paraId="7BB767BE"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5</w:t>
            </w:r>
          </w:p>
        </w:tc>
        <w:tc>
          <w:tcPr>
            <w:tcW w:w="663" w:type="dxa"/>
            <w:shd w:val="clear" w:color="auto" w:fill="auto"/>
            <w:noWrap/>
            <w:vAlign w:val="bottom"/>
            <w:hideMark/>
          </w:tcPr>
          <w:p w14:paraId="4613DF2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5</w:t>
            </w:r>
          </w:p>
        </w:tc>
        <w:tc>
          <w:tcPr>
            <w:tcW w:w="663" w:type="dxa"/>
            <w:shd w:val="clear" w:color="auto" w:fill="auto"/>
            <w:noWrap/>
            <w:vAlign w:val="bottom"/>
            <w:hideMark/>
          </w:tcPr>
          <w:p w14:paraId="0363DF9E"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5</w:t>
            </w:r>
          </w:p>
        </w:tc>
        <w:tc>
          <w:tcPr>
            <w:tcW w:w="663" w:type="dxa"/>
            <w:shd w:val="clear" w:color="auto" w:fill="auto"/>
            <w:noWrap/>
            <w:vAlign w:val="bottom"/>
            <w:hideMark/>
          </w:tcPr>
          <w:p w14:paraId="29864FB8"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6</w:t>
            </w:r>
          </w:p>
        </w:tc>
        <w:tc>
          <w:tcPr>
            <w:tcW w:w="663" w:type="dxa"/>
            <w:shd w:val="clear" w:color="auto" w:fill="auto"/>
            <w:noWrap/>
            <w:vAlign w:val="bottom"/>
            <w:hideMark/>
          </w:tcPr>
          <w:p w14:paraId="20AD1CD6"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8</w:t>
            </w:r>
          </w:p>
        </w:tc>
        <w:tc>
          <w:tcPr>
            <w:tcW w:w="663" w:type="dxa"/>
            <w:shd w:val="clear" w:color="auto" w:fill="auto"/>
            <w:noWrap/>
            <w:vAlign w:val="bottom"/>
            <w:hideMark/>
          </w:tcPr>
          <w:p w14:paraId="2C381329"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7</w:t>
            </w:r>
          </w:p>
        </w:tc>
        <w:tc>
          <w:tcPr>
            <w:tcW w:w="663" w:type="dxa"/>
            <w:shd w:val="clear" w:color="auto" w:fill="auto"/>
            <w:noWrap/>
            <w:vAlign w:val="bottom"/>
            <w:hideMark/>
          </w:tcPr>
          <w:p w14:paraId="7E43E86D"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8</w:t>
            </w:r>
          </w:p>
        </w:tc>
        <w:tc>
          <w:tcPr>
            <w:tcW w:w="663" w:type="dxa"/>
            <w:shd w:val="clear" w:color="auto" w:fill="auto"/>
            <w:noWrap/>
            <w:vAlign w:val="bottom"/>
            <w:hideMark/>
          </w:tcPr>
          <w:p w14:paraId="0E38AA5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8</w:t>
            </w:r>
          </w:p>
        </w:tc>
        <w:tc>
          <w:tcPr>
            <w:tcW w:w="663" w:type="dxa"/>
            <w:shd w:val="clear" w:color="auto" w:fill="auto"/>
            <w:noWrap/>
            <w:vAlign w:val="bottom"/>
            <w:hideMark/>
          </w:tcPr>
          <w:p w14:paraId="2EEA9DB3"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4</w:t>
            </w:r>
          </w:p>
        </w:tc>
        <w:tc>
          <w:tcPr>
            <w:tcW w:w="663" w:type="dxa"/>
            <w:shd w:val="clear" w:color="auto" w:fill="auto"/>
            <w:noWrap/>
            <w:vAlign w:val="bottom"/>
            <w:hideMark/>
          </w:tcPr>
          <w:p w14:paraId="79B09F4F"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4</w:t>
            </w:r>
          </w:p>
        </w:tc>
        <w:tc>
          <w:tcPr>
            <w:tcW w:w="1180" w:type="dxa"/>
            <w:shd w:val="clear" w:color="auto" w:fill="auto"/>
            <w:noWrap/>
            <w:vAlign w:val="bottom"/>
            <w:hideMark/>
          </w:tcPr>
          <w:p w14:paraId="07DC9E40"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70</w:t>
            </w:r>
          </w:p>
        </w:tc>
      </w:tr>
      <w:tr w:rsidR="00BD4D02" w:rsidRPr="00BD4D02" w14:paraId="3E8FBCE1" w14:textId="77777777" w:rsidTr="00050580">
        <w:trPr>
          <w:trHeight w:val="144"/>
        </w:trPr>
        <w:tc>
          <w:tcPr>
            <w:tcW w:w="4500" w:type="dxa"/>
            <w:shd w:val="clear" w:color="auto" w:fill="auto"/>
            <w:noWrap/>
            <w:vAlign w:val="bottom"/>
            <w:hideMark/>
          </w:tcPr>
          <w:p w14:paraId="31F8CBC6"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Ecosystem</w:t>
            </w:r>
          </w:p>
        </w:tc>
        <w:tc>
          <w:tcPr>
            <w:tcW w:w="770" w:type="dxa"/>
            <w:shd w:val="clear" w:color="auto" w:fill="auto"/>
            <w:noWrap/>
            <w:vAlign w:val="bottom"/>
            <w:hideMark/>
          </w:tcPr>
          <w:p w14:paraId="30AE4AC4"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297700E5" w14:textId="77777777" w:rsidR="00BD4D02" w:rsidRPr="00BD4D02" w:rsidRDefault="00BD4D02" w:rsidP="00BD4D02">
            <w:pPr>
              <w:rPr>
                <w:sz w:val="20"/>
                <w:szCs w:val="20"/>
              </w:rPr>
            </w:pPr>
          </w:p>
        </w:tc>
        <w:tc>
          <w:tcPr>
            <w:tcW w:w="663" w:type="dxa"/>
            <w:shd w:val="clear" w:color="auto" w:fill="auto"/>
            <w:noWrap/>
            <w:vAlign w:val="bottom"/>
            <w:hideMark/>
          </w:tcPr>
          <w:p w14:paraId="556A13CD" w14:textId="77777777" w:rsidR="00BD4D02" w:rsidRPr="00BD4D02" w:rsidRDefault="00BD4D02" w:rsidP="00BD4D02">
            <w:pPr>
              <w:rPr>
                <w:sz w:val="20"/>
                <w:szCs w:val="20"/>
              </w:rPr>
            </w:pPr>
          </w:p>
        </w:tc>
        <w:tc>
          <w:tcPr>
            <w:tcW w:w="663" w:type="dxa"/>
            <w:shd w:val="clear" w:color="auto" w:fill="auto"/>
            <w:noWrap/>
            <w:vAlign w:val="bottom"/>
            <w:hideMark/>
          </w:tcPr>
          <w:p w14:paraId="61868BAB" w14:textId="77777777" w:rsidR="00BD4D02" w:rsidRPr="00BD4D02" w:rsidRDefault="00BD4D02" w:rsidP="00BD4D02">
            <w:pPr>
              <w:rPr>
                <w:sz w:val="20"/>
                <w:szCs w:val="20"/>
              </w:rPr>
            </w:pPr>
          </w:p>
        </w:tc>
        <w:tc>
          <w:tcPr>
            <w:tcW w:w="663" w:type="dxa"/>
            <w:shd w:val="clear" w:color="auto" w:fill="auto"/>
            <w:noWrap/>
            <w:vAlign w:val="bottom"/>
            <w:hideMark/>
          </w:tcPr>
          <w:p w14:paraId="01A9040E" w14:textId="77777777" w:rsidR="00BD4D02" w:rsidRPr="00BD4D02" w:rsidRDefault="00BD4D02" w:rsidP="00BD4D02">
            <w:pPr>
              <w:rPr>
                <w:sz w:val="20"/>
                <w:szCs w:val="20"/>
              </w:rPr>
            </w:pPr>
          </w:p>
        </w:tc>
        <w:tc>
          <w:tcPr>
            <w:tcW w:w="663" w:type="dxa"/>
            <w:shd w:val="clear" w:color="auto" w:fill="auto"/>
            <w:noWrap/>
            <w:vAlign w:val="bottom"/>
            <w:hideMark/>
          </w:tcPr>
          <w:p w14:paraId="4C0D33E6" w14:textId="77777777" w:rsidR="00BD4D02" w:rsidRPr="00BD4D02" w:rsidRDefault="00BD4D02" w:rsidP="00BD4D02">
            <w:pPr>
              <w:rPr>
                <w:sz w:val="20"/>
                <w:szCs w:val="20"/>
              </w:rPr>
            </w:pPr>
          </w:p>
        </w:tc>
        <w:tc>
          <w:tcPr>
            <w:tcW w:w="663" w:type="dxa"/>
            <w:shd w:val="clear" w:color="auto" w:fill="auto"/>
            <w:noWrap/>
            <w:vAlign w:val="bottom"/>
            <w:hideMark/>
          </w:tcPr>
          <w:p w14:paraId="318CDBD8" w14:textId="77777777" w:rsidR="00BD4D02" w:rsidRPr="00BD4D02" w:rsidRDefault="00BD4D02" w:rsidP="00BD4D02">
            <w:pPr>
              <w:rPr>
                <w:sz w:val="20"/>
                <w:szCs w:val="20"/>
              </w:rPr>
            </w:pPr>
          </w:p>
        </w:tc>
        <w:tc>
          <w:tcPr>
            <w:tcW w:w="663" w:type="dxa"/>
            <w:shd w:val="clear" w:color="auto" w:fill="auto"/>
            <w:noWrap/>
            <w:vAlign w:val="bottom"/>
            <w:hideMark/>
          </w:tcPr>
          <w:p w14:paraId="03DAB1E2" w14:textId="77777777" w:rsidR="00BD4D02" w:rsidRPr="00BD4D02" w:rsidRDefault="00BD4D02" w:rsidP="00BD4D02">
            <w:pPr>
              <w:rPr>
                <w:sz w:val="20"/>
                <w:szCs w:val="20"/>
              </w:rPr>
            </w:pPr>
          </w:p>
        </w:tc>
        <w:tc>
          <w:tcPr>
            <w:tcW w:w="663" w:type="dxa"/>
            <w:shd w:val="clear" w:color="auto" w:fill="auto"/>
            <w:noWrap/>
            <w:vAlign w:val="bottom"/>
            <w:hideMark/>
          </w:tcPr>
          <w:p w14:paraId="77E6D85B" w14:textId="77777777" w:rsidR="00BD4D02" w:rsidRPr="00BD4D02" w:rsidRDefault="00BD4D02" w:rsidP="00BD4D02">
            <w:pPr>
              <w:rPr>
                <w:sz w:val="20"/>
                <w:szCs w:val="20"/>
              </w:rPr>
            </w:pPr>
          </w:p>
        </w:tc>
        <w:tc>
          <w:tcPr>
            <w:tcW w:w="663" w:type="dxa"/>
            <w:shd w:val="clear" w:color="auto" w:fill="auto"/>
            <w:noWrap/>
            <w:vAlign w:val="bottom"/>
            <w:hideMark/>
          </w:tcPr>
          <w:p w14:paraId="6E07102B"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20043E3B"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5DD4139B" w14:textId="77777777" w:rsidR="00BD4D02" w:rsidRPr="00BD4D02" w:rsidRDefault="00BD4D02" w:rsidP="00BD4D02">
            <w:pPr>
              <w:rPr>
                <w:sz w:val="20"/>
                <w:szCs w:val="20"/>
              </w:rPr>
            </w:pPr>
          </w:p>
        </w:tc>
        <w:tc>
          <w:tcPr>
            <w:tcW w:w="1180" w:type="dxa"/>
            <w:shd w:val="clear" w:color="auto" w:fill="auto"/>
            <w:noWrap/>
            <w:vAlign w:val="bottom"/>
            <w:hideMark/>
          </w:tcPr>
          <w:p w14:paraId="2C0107AA"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797D34BF" w14:textId="77777777" w:rsidTr="00050580">
        <w:trPr>
          <w:trHeight w:val="144"/>
        </w:trPr>
        <w:tc>
          <w:tcPr>
            <w:tcW w:w="4500" w:type="dxa"/>
            <w:shd w:val="clear" w:color="auto" w:fill="auto"/>
            <w:noWrap/>
            <w:vAlign w:val="bottom"/>
            <w:hideMark/>
          </w:tcPr>
          <w:p w14:paraId="2B4DDF74"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Expenditures</w:t>
            </w:r>
          </w:p>
        </w:tc>
        <w:tc>
          <w:tcPr>
            <w:tcW w:w="770" w:type="dxa"/>
            <w:shd w:val="clear" w:color="auto" w:fill="auto"/>
            <w:noWrap/>
            <w:vAlign w:val="bottom"/>
            <w:hideMark/>
          </w:tcPr>
          <w:p w14:paraId="65822534"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4CDA2158"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673E048F"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5141C8C0"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63BF4FAE"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3D60AF90"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413BE9A0"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327E6F73" w14:textId="77777777" w:rsidR="00BD4D02" w:rsidRPr="00BD4D02" w:rsidRDefault="00BD4D02" w:rsidP="00BD4D02">
            <w:pPr>
              <w:rPr>
                <w:sz w:val="20"/>
                <w:szCs w:val="20"/>
              </w:rPr>
            </w:pPr>
          </w:p>
        </w:tc>
        <w:tc>
          <w:tcPr>
            <w:tcW w:w="663" w:type="dxa"/>
            <w:shd w:val="clear" w:color="auto" w:fill="auto"/>
            <w:noWrap/>
            <w:vAlign w:val="bottom"/>
            <w:hideMark/>
          </w:tcPr>
          <w:p w14:paraId="37865DD4" w14:textId="77777777" w:rsidR="00BD4D02" w:rsidRPr="00BD4D02" w:rsidRDefault="00BD4D02" w:rsidP="00BD4D02">
            <w:pPr>
              <w:rPr>
                <w:sz w:val="20"/>
                <w:szCs w:val="20"/>
              </w:rPr>
            </w:pPr>
          </w:p>
        </w:tc>
        <w:tc>
          <w:tcPr>
            <w:tcW w:w="663" w:type="dxa"/>
            <w:shd w:val="clear" w:color="auto" w:fill="auto"/>
            <w:noWrap/>
            <w:vAlign w:val="bottom"/>
            <w:hideMark/>
          </w:tcPr>
          <w:p w14:paraId="38CA59B2" w14:textId="77777777" w:rsidR="00BD4D02" w:rsidRPr="00BD4D02" w:rsidRDefault="00BD4D02" w:rsidP="00BD4D02">
            <w:pPr>
              <w:rPr>
                <w:sz w:val="20"/>
                <w:szCs w:val="20"/>
              </w:rPr>
            </w:pPr>
          </w:p>
        </w:tc>
        <w:tc>
          <w:tcPr>
            <w:tcW w:w="663" w:type="dxa"/>
            <w:shd w:val="clear" w:color="auto" w:fill="auto"/>
            <w:noWrap/>
            <w:vAlign w:val="bottom"/>
            <w:hideMark/>
          </w:tcPr>
          <w:p w14:paraId="45DFC6AC" w14:textId="77777777" w:rsidR="00BD4D02" w:rsidRPr="00BD4D02" w:rsidRDefault="00BD4D02" w:rsidP="00BD4D02">
            <w:pPr>
              <w:rPr>
                <w:sz w:val="20"/>
                <w:szCs w:val="20"/>
              </w:rPr>
            </w:pPr>
          </w:p>
        </w:tc>
        <w:tc>
          <w:tcPr>
            <w:tcW w:w="663" w:type="dxa"/>
            <w:shd w:val="clear" w:color="auto" w:fill="auto"/>
            <w:noWrap/>
            <w:vAlign w:val="bottom"/>
            <w:hideMark/>
          </w:tcPr>
          <w:p w14:paraId="34D5997D" w14:textId="77777777" w:rsidR="00BD4D02" w:rsidRPr="00BD4D02" w:rsidRDefault="00BD4D02" w:rsidP="00BD4D02">
            <w:pPr>
              <w:rPr>
                <w:sz w:val="20"/>
                <w:szCs w:val="20"/>
              </w:rPr>
            </w:pPr>
          </w:p>
        </w:tc>
        <w:tc>
          <w:tcPr>
            <w:tcW w:w="1180" w:type="dxa"/>
            <w:shd w:val="clear" w:color="auto" w:fill="auto"/>
            <w:noWrap/>
            <w:vAlign w:val="bottom"/>
            <w:hideMark/>
          </w:tcPr>
          <w:p w14:paraId="016E248F"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6</w:t>
            </w:r>
          </w:p>
        </w:tc>
      </w:tr>
      <w:tr w:rsidR="00BD4D02" w:rsidRPr="00BD4D02" w14:paraId="4FD77471" w14:textId="77777777" w:rsidTr="00050580">
        <w:trPr>
          <w:trHeight w:val="144"/>
        </w:trPr>
        <w:tc>
          <w:tcPr>
            <w:tcW w:w="4500" w:type="dxa"/>
            <w:shd w:val="clear" w:color="auto" w:fill="auto"/>
            <w:noWrap/>
            <w:vAlign w:val="bottom"/>
            <w:hideMark/>
          </w:tcPr>
          <w:p w14:paraId="535D896F"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New Media funds</w:t>
            </w:r>
          </w:p>
        </w:tc>
        <w:tc>
          <w:tcPr>
            <w:tcW w:w="770" w:type="dxa"/>
            <w:shd w:val="clear" w:color="auto" w:fill="auto"/>
            <w:noWrap/>
            <w:vAlign w:val="bottom"/>
            <w:hideMark/>
          </w:tcPr>
          <w:p w14:paraId="466E4B0E"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104228DD"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5526526B"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3A34AC30"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11BE74B3" w14:textId="77777777" w:rsidR="00BD4D02" w:rsidRPr="00BD4D02" w:rsidRDefault="00BD4D02" w:rsidP="00BD4D02">
            <w:pPr>
              <w:rPr>
                <w:sz w:val="20"/>
                <w:szCs w:val="20"/>
              </w:rPr>
            </w:pPr>
          </w:p>
        </w:tc>
        <w:tc>
          <w:tcPr>
            <w:tcW w:w="663" w:type="dxa"/>
            <w:shd w:val="clear" w:color="auto" w:fill="auto"/>
            <w:noWrap/>
            <w:vAlign w:val="bottom"/>
            <w:hideMark/>
          </w:tcPr>
          <w:p w14:paraId="528FA089" w14:textId="77777777" w:rsidR="00BD4D02" w:rsidRPr="00BD4D02" w:rsidRDefault="00BD4D02" w:rsidP="00BD4D02">
            <w:pPr>
              <w:rPr>
                <w:sz w:val="20"/>
                <w:szCs w:val="20"/>
              </w:rPr>
            </w:pPr>
          </w:p>
        </w:tc>
        <w:tc>
          <w:tcPr>
            <w:tcW w:w="663" w:type="dxa"/>
            <w:shd w:val="clear" w:color="auto" w:fill="auto"/>
            <w:noWrap/>
            <w:vAlign w:val="bottom"/>
            <w:hideMark/>
          </w:tcPr>
          <w:p w14:paraId="6B0E99BC" w14:textId="77777777" w:rsidR="00BD4D02" w:rsidRPr="00BD4D02" w:rsidRDefault="00BD4D02" w:rsidP="00BD4D02">
            <w:pPr>
              <w:rPr>
                <w:sz w:val="20"/>
                <w:szCs w:val="20"/>
              </w:rPr>
            </w:pPr>
          </w:p>
        </w:tc>
        <w:tc>
          <w:tcPr>
            <w:tcW w:w="663" w:type="dxa"/>
            <w:shd w:val="clear" w:color="auto" w:fill="auto"/>
            <w:noWrap/>
            <w:vAlign w:val="bottom"/>
            <w:hideMark/>
          </w:tcPr>
          <w:p w14:paraId="2A2CA5B4" w14:textId="77777777" w:rsidR="00BD4D02" w:rsidRPr="00BD4D02" w:rsidRDefault="00BD4D02" w:rsidP="00BD4D02">
            <w:pPr>
              <w:rPr>
                <w:sz w:val="20"/>
                <w:szCs w:val="20"/>
              </w:rPr>
            </w:pPr>
          </w:p>
        </w:tc>
        <w:tc>
          <w:tcPr>
            <w:tcW w:w="663" w:type="dxa"/>
            <w:shd w:val="clear" w:color="auto" w:fill="auto"/>
            <w:noWrap/>
            <w:vAlign w:val="bottom"/>
            <w:hideMark/>
          </w:tcPr>
          <w:p w14:paraId="0DDDAD28" w14:textId="77777777" w:rsidR="00BD4D02" w:rsidRPr="00BD4D02" w:rsidRDefault="00BD4D02" w:rsidP="00BD4D02">
            <w:pPr>
              <w:rPr>
                <w:sz w:val="20"/>
                <w:szCs w:val="20"/>
              </w:rPr>
            </w:pPr>
          </w:p>
        </w:tc>
        <w:tc>
          <w:tcPr>
            <w:tcW w:w="663" w:type="dxa"/>
            <w:shd w:val="clear" w:color="auto" w:fill="auto"/>
            <w:noWrap/>
            <w:vAlign w:val="bottom"/>
            <w:hideMark/>
          </w:tcPr>
          <w:p w14:paraId="0C4884F1" w14:textId="77777777" w:rsidR="00BD4D02" w:rsidRPr="00BD4D02" w:rsidRDefault="00BD4D02" w:rsidP="00BD4D02">
            <w:pPr>
              <w:rPr>
                <w:sz w:val="20"/>
                <w:szCs w:val="20"/>
              </w:rPr>
            </w:pPr>
          </w:p>
        </w:tc>
        <w:tc>
          <w:tcPr>
            <w:tcW w:w="663" w:type="dxa"/>
            <w:shd w:val="clear" w:color="auto" w:fill="auto"/>
            <w:noWrap/>
            <w:vAlign w:val="bottom"/>
            <w:hideMark/>
          </w:tcPr>
          <w:p w14:paraId="5520C7DF" w14:textId="77777777" w:rsidR="00BD4D02" w:rsidRPr="00BD4D02" w:rsidRDefault="00BD4D02" w:rsidP="00BD4D02">
            <w:pPr>
              <w:rPr>
                <w:sz w:val="20"/>
                <w:szCs w:val="20"/>
              </w:rPr>
            </w:pPr>
          </w:p>
        </w:tc>
        <w:tc>
          <w:tcPr>
            <w:tcW w:w="663" w:type="dxa"/>
            <w:shd w:val="clear" w:color="auto" w:fill="auto"/>
            <w:noWrap/>
            <w:vAlign w:val="bottom"/>
            <w:hideMark/>
          </w:tcPr>
          <w:p w14:paraId="65A0AA4C" w14:textId="77777777" w:rsidR="00BD4D02" w:rsidRPr="00BD4D02" w:rsidRDefault="00BD4D02" w:rsidP="00BD4D02">
            <w:pPr>
              <w:rPr>
                <w:sz w:val="20"/>
                <w:szCs w:val="20"/>
              </w:rPr>
            </w:pPr>
          </w:p>
        </w:tc>
        <w:tc>
          <w:tcPr>
            <w:tcW w:w="1180" w:type="dxa"/>
            <w:shd w:val="clear" w:color="auto" w:fill="auto"/>
            <w:noWrap/>
            <w:vAlign w:val="bottom"/>
            <w:hideMark/>
          </w:tcPr>
          <w:p w14:paraId="5FB22237"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w:t>
            </w:r>
          </w:p>
        </w:tc>
      </w:tr>
      <w:tr w:rsidR="00BD4D02" w:rsidRPr="00BD4D02" w14:paraId="5081B3C5" w14:textId="77777777" w:rsidTr="00050580">
        <w:trPr>
          <w:trHeight w:val="144"/>
        </w:trPr>
        <w:tc>
          <w:tcPr>
            <w:tcW w:w="4500" w:type="dxa"/>
            <w:shd w:val="clear" w:color="auto" w:fill="auto"/>
            <w:noWrap/>
            <w:vAlign w:val="bottom"/>
            <w:hideMark/>
          </w:tcPr>
          <w:p w14:paraId="179AF270"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PNI</w:t>
            </w:r>
          </w:p>
        </w:tc>
        <w:tc>
          <w:tcPr>
            <w:tcW w:w="770" w:type="dxa"/>
            <w:shd w:val="clear" w:color="auto" w:fill="auto"/>
            <w:noWrap/>
            <w:vAlign w:val="bottom"/>
            <w:hideMark/>
          </w:tcPr>
          <w:p w14:paraId="2E536EEE"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51D37BCC" w14:textId="77777777" w:rsidR="00BD4D02" w:rsidRPr="00BD4D02" w:rsidRDefault="00BD4D02" w:rsidP="00BD4D02">
            <w:pPr>
              <w:rPr>
                <w:sz w:val="20"/>
                <w:szCs w:val="20"/>
              </w:rPr>
            </w:pPr>
          </w:p>
        </w:tc>
        <w:tc>
          <w:tcPr>
            <w:tcW w:w="663" w:type="dxa"/>
            <w:shd w:val="clear" w:color="auto" w:fill="auto"/>
            <w:noWrap/>
            <w:vAlign w:val="bottom"/>
            <w:hideMark/>
          </w:tcPr>
          <w:p w14:paraId="39412B0F" w14:textId="77777777" w:rsidR="00BD4D02" w:rsidRPr="00BD4D02" w:rsidRDefault="00BD4D02" w:rsidP="00BD4D02">
            <w:pPr>
              <w:rPr>
                <w:sz w:val="20"/>
                <w:szCs w:val="20"/>
              </w:rPr>
            </w:pPr>
          </w:p>
        </w:tc>
        <w:tc>
          <w:tcPr>
            <w:tcW w:w="663" w:type="dxa"/>
            <w:shd w:val="clear" w:color="auto" w:fill="auto"/>
            <w:noWrap/>
            <w:vAlign w:val="bottom"/>
            <w:hideMark/>
          </w:tcPr>
          <w:p w14:paraId="141DB226" w14:textId="77777777" w:rsidR="00BD4D02" w:rsidRPr="00BD4D02" w:rsidRDefault="00BD4D02" w:rsidP="00BD4D02">
            <w:pPr>
              <w:rPr>
                <w:sz w:val="20"/>
                <w:szCs w:val="20"/>
              </w:rPr>
            </w:pPr>
          </w:p>
        </w:tc>
        <w:tc>
          <w:tcPr>
            <w:tcW w:w="663" w:type="dxa"/>
            <w:shd w:val="clear" w:color="auto" w:fill="auto"/>
            <w:noWrap/>
            <w:vAlign w:val="bottom"/>
            <w:hideMark/>
          </w:tcPr>
          <w:p w14:paraId="52480B29" w14:textId="77777777" w:rsidR="00BD4D02" w:rsidRPr="00BD4D02" w:rsidRDefault="00BD4D02" w:rsidP="00BD4D02">
            <w:pPr>
              <w:rPr>
                <w:sz w:val="20"/>
                <w:szCs w:val="20"/>
              </w:rPr>
            </w:pPr>
          </w:p>
        </w:tc>
        <w:tc>
          <w:tcPr>
            <w:tcW w:w="663" w:type="dxa"/>
            <w:shd w:val="clear" w:color="auto" w:fill="auto"/>
            <w:noWrap/>
            <w:vAlign w:val="bottom"/>
            <w:hideMark/>
          </w:tcPr>
          <w:p w14:paraId="30E0F5F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4147F46B"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00788CDC"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2BC07B30"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12429AD0"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2039C949"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63EBBBB0"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1180" w:type="dxa"/>
            <w:shd w:val="clear" w:color="auto" w:fill="auto"/>
            <w:noWrap/>
            <w:vAlign w:val="bottom"/>
            <w:hideMark/>
          </w:tcPr>
          <w:p w14:paraId="658C400A"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11</w:t>
            </w:r>
          </w:p>
        </w:tc>
      </w:tr>
      <w:tr w:rsidR="00BD4D02" w:rsidRPr="00BD4D02" w14:paraId="6B44A78E" w14:textId="77777777" w:rsidTr="00050580">
        <w:trPr>
          <w:trHeight w:val="144"/>
        </w:trPr>
        <w:tc>
          <w:tcPr>
            <w:tcW w:w="4500" w:type="dxa"/>
            <w:shd w:val="clear" w:color="auto" w:fill="auto"/>
            <w:noWrap/>
            <w:vAlign w:val="bottom"/>
            <w:hideMark/>
          </w:tcPr>
          <w:p w14:paraId="1ADA7B3D"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Recipients</w:t>
            </w:r>
          </w:p>
        </w:tc>
        <w:tc>
          <w:tcPr>
            <w:tcW w:w="770" w:type="dxa"/>
            <w:shd w:val="clear" w:color="auto" w:fill="auto"/>
            <w:noWrap/>
            <w:vAlign w:val="bottom"/>
            <w:hideMark/>
          </w:tcPr>
          <w:p w14:paraId="4AB69180"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58F8BA22" w14:textId="77777777" w:rsidR="00BD4D02" w:rsidRPr="00BD4D02" w:rsidRDefault="00BD4D02" w:rsidP="00BD4D02">
            <w:pPr>
              <w:rPr>
                <w:sz w:val="20"/>
                <w:szCs w:val="20"/>
              </w:rPr>
            </w:pPr>
          </w:p>
        </w:tc>
        <w:tc>
          <w:tcPr>
            <w:tcW w:w="663" w:type="dxa"/>
            <w:shd w:val="clear" w:color="auto" w:fill="auto"/>
            <w:noWrap/>
            <w:vAlign w:val="bottom"/>
            <w:hideMark/>
          </w:tcPr>
          <w:p w14:paraId="59099400" w14:textId="77777777" w:rsidR="00BD4D02" w:rsidRPr="00BD4D02" w:rsidRDefault="00BD4D02" w:rsidP="00BD4D02">
            <w:pPr>
              <w:rPr>
                <w:sz w:val="20"/>
                <w:szCs w:val="20"/>
              </w:rPr>
            </w:pPr>
          </w:p>
        </w:tc>
        <w:tc>
          <w:tcPr>
            <w:tcW w:w="663" w:type="dxa"/>
            <w:shd w:val="clear" w:color="auto" w:fill="auto"/>
            <w:noWrap/>
            <w:vAlign w:val="bottom"/>
            <w:hideMark/>
          </w:tcPr>
          <w:p w14:paraId="5F7FA22F" w14:textId="77777777" w:rsidR="00BD4D02" w:rsidRPr="00BD4D02" w:rsidRDefault="00BD4D02" w:rsidP="00BD4D02">
            <w:pPr>
              <w:rPr>
                <w:sz w:val="20"/>
                <w:szCs w:val="20"/>
              </w:rPr>
            </w:pPr>
          </w:p>
        </w:tc>
        <w:tc>
          <w:tcPr>
            <w:tcW w:w="663" w:type="dxa"/>
            <w:shd w:val="clear" w:color="auto" w:fill="auto"/>
            <w:noWrap/>
            <w:vAlign w:val="bottom"/>
            <w:hideMark/>
          </w:tcPr>
          <w:p w14:paraId="3E7DCB47" w14:textId="77777777" w:rsidR="00BD4D02" w:rsidRPr="00BD4D02" w:rsidRDefault="00BD4D02" w:rsidP="00BD4D02">
            <w:pPr>
              <w:rPr>
                <w:sz w:val="20"/>
                <w:szCs w:val="20"/>
              </w:rPr>
            </w:pPr>
          </w:p>
        </w:tc>
        <w:tc>
          <w:tcPr>
            <w:tcW w:w="663" w:type="dxa"/>
            <w:shd w:val="clear" w:color="auto" w:fill="auto"/>
            <w:noWrap/>
            <w:vAlign w:val="bottom"/>
            <w:hideMark/>
          </w:tcPr>
          <w:p w14:paraId="7AEC3356" w14:textId="77777777" w:rsidR="00BD4D02" w:rsidRPr="00BD4D02" w:rsidRDefault="00BD4D02" w:rsidP="00BD4D02">
            <w:pPr>
              <w:rPr>
                <w:sz w:val="20"/>
                <w:szCs w:val="20"/>
              </w:rPr>
            </w:pPr>
          </w:p>
        </w:tc>
        <w:tc>
          <w:tcPr>
            <w:tcW w:w="663" w:type="dxa"/>
            <w:shd w:val="clear" w:color="auto" w:fill="auto"/>
            <w:noWrap/>
            <w:vAlign w:val="bottom"/>
            <w:hideMark/>
          </w:tcPr>
          <w:p w14:paraId="527A748F" w14:textId="77777777" w:rsidR="00BD4D02" w:rsidRPr="00BD4D02" w:rsidRDefault="00BD4D02" w:rsidP="00BD4D02">
            <w:pPr>
              <w:rPr>
                <w:sz w:val="20"/>
                <w:szCs w:val="20"/>
              </w:rPr>
            </w:pPr>
          </w:p>
        </w:tc>
        <w:tc>
          <w:tcPr>
            <w:tcW w:w="663" w:type="dxa"/>
            <w:shd w:val="clear" w:color="auto" w:fill="auto"/>
            <w:noWrap/>
            <w:vAlign w:val="bottom"/>
            <w:hideMark/>
          </w:tcPr>
          <w:p w14:paraId="3ED677C7"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44BDE15D"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437B7EFB" w14:textId="77777777" w:rsidR="00BD4D02" w:rsidRPr="00BD4D02" w:rsidRDefault="00BD4D02" w:rsidP="00BD4D02">
            <w:pPr>
              <w:rPr>
                <w:sz w:val="20"/>
                <w:szCs w:val="20"/>
              </w:rPr>
            </w:pPr>
          </w:p>
        </w:tc>
        <w:tc>
          <w:tcPr>
            <w:tcW w:w="663" w:type="dxa"/>
            <w:shd w:val="clear" w:color="auto" w:fill="auto"/>
            <w:noWrap/>
            <w:vAlign w:val="bottom"/>
            <w:hideMark/>
          </w:tcPr>
          <w:p w14:paraId="73C346FC"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25872FA7"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1180" w:type="dxa"/>
            <w:shd w:val="clear" w:color="auto" w:fill="auto"/>
            <w:noWrap/>
            <w:vAlign w:val="bottom"/>
            <w:hideMark/>
          </w:tcPr>
          <w:p w14:paraId="4E3BE81E"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w:t>
            </w:r>
          </w:p>
        </w:tc>
      </w:tr>
      <w:tr w:rsidR="00BD4D02" w:rsidRPr="00BD4D02" w14:paraId="656080CC" w14:textId="77777777" w:rsidTr="00050580">
        <w:trPr>
          <w:trHeight w:val="144"/>
        </w:trPr>
        <w:tc>
          <w:tcPr>
            <w:tcW w:w="4500" w:type="dxa"/>
            <w:shd w:val="clear" w:color="auto" w:fill="auto"/>
            <w:noWrap/>
            <w:vAlign w:val="bottom"/>
            <w:hideMark/>
          </w:tcPr>
          <w:p w14:paraId="43DCD890"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Source</w:t>
            </w:r>
          </w:p>
        </w:tc>
        <w:tc>
          <w:tcPr>
            <w:tcW w:w="770" w:type="dxa"/>
            <w:shd w:val="clear" w:color="auto" w:fill="auto"/>
            <w:noWrap/>
            <w:vAlign w:val="bottom"/>
            <w:hideMark/>
          </w:tcPr>
          <w:p w14:paraId="0A6CEE66"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1002699E" w14:textId="77777777" w:rsidR="00BD4D02" w:rsidRPr="00BD4D02" w:rsidRDefault="00BD4D02" w:rsidP="00BD4D02">
            <w:pPr>
              <w:rPr>
                <w:sz w:val="20"/>
                <w:szCs w:val="20"/>
              </w:rPr>
            </w:pPr>
          </w:p>
        </w:tc>
        <w:tc>
          <w:tcPr>
            <w:tcW w:w="663" w:type="dxa"/>
            <w:shd w:val="clear" w:color="auto" w:fill="auto"/>
            <w:noWrap/>
            <w:vAlign w:val="bottom"/>
            <w:hideMark/>
          </w:tcPr>
          <w:p w14:paraId="479A8C78" w14:textId="77777777" w:rsidR="00BD4D02" w:rsidRPr="00BD4D02" w:rsidRDefault="00BD4D02" w:rsidP="00BD4D02">
            <w:pPr>
              <w:rPr>
                <w:sz w:val="20"/>
                <w:szCs w:val="20"/>
              </w:rPr>
            </w:pPr>
          </w:p>
        </w:tc>
        <w:tc>
          <w:tcPr>
            <w:tcW w:w="663" w:type="dxa"/>
            <w:shd w:val="clear" w:color="auto" w:fill="auto"/>
            <w:noWrap/>
            <w:vAlign w:val="bottom"/>
            <w:hideMark/>
          </w:tcPr>
          <w:p w14:paraId="0F0BA8AB" w14:textId="77777777" w:rsidR="00BD4D02" w:rsidRPr="00BD4D02" w:rsidRDefault="00BD4D02" w:rsidP="00BD4D02">
            <w:pPr>
              <w:rPr>
                <w:sz w:val="20"/>
                <w:szCs w:val="20"/>
              </w:rPr>
            </w:pPr>
          </w:p>
        </w:tc>
        <w:tc>
          <w:tcPr>
            <w:tcW w:w="663" w:type="dxa"/>
            <w:shd w:val="clear" w:color="auto" w:fill="auto"/>
            <w:noWrap/>
            <w:vAlign w:val="bottom"/>
            <w:hideMark/>
          </w:tcPr>
          <w:p w14:paraId="4D527020" w14:textId="77777777" w:rsidR="00BD4D02" w:rsidRPr="00BD4D02" w:rsidRDefault="00BD4D02" w:rsidP="00BD4D02">
            <w:pPr>
              <w:rPr>
                <w:sz w:val="20"/>
                <w:szCs w:val="20"/>
              </w:rPr>
            </w:pPr>
          </w:p>
        </w:tc>
        <w:tc>
          <w:tcPr>
            <w:tcW w:w="663" w:type="dxa"/>
            <w:shd w:val="clear" w:color="auto" w:fill="auto"/>
            <w:noWrap/>
            <w:vAlign w:val="bottom"/>
            <w:hideMark/>
          </w:tcPr>
          <w:p w14:paraId="6EA46AD1" w14:textId="77777777" w:rsidR="00BD4D02" w:rsidRPr="00BD4D02" w:rsidRDefault="00BD4D02" w:rsidP="00BD4D02">
            <w:pPr>
              <w:rPr>
                <w:sz w:val="20"/>
                <w:szCs w:val="20"/>
              </w:rPr>
            </w:pPr>
          </w:p>
        </w:tc>
        <w:tc>
          <w:tcPr>
            <w:tcW w:w="663" w:type="dxa"/>
            <w:shd w:val="clear" w:color="auto" w:fill="auto"/>
            <w:noWrap/>
            <w:vAlign w:val="bottom"/>
            <w:hideMark/>
          </w:tcPr>
          <w:p w14:paraId="34A2C30C" w14:textId="77777777" w:rsidR="00BD4D02" w:rsidRPr="00BD4D02" w:rsidRDefault="00BD4D02" w:rsidP="00BD4D02">
            <w:pPr>
              <w:rPr>
                <w:sz w:val="20"/>
                <w:szCs w:val="20"/>
              </w:rPr>
            </w:pPr>
          </w:p>
        </w:tc>
        <w:tc>
          <w:tcPr>
            <w:tcW w:w="663" w:type="dxa"/>
            <w:shd w:val="clear" w:color="auto" w:fill="auto"/>
            <w:noWrap/>
            <w:vAlign w:val="bottom"/>
            <w:hideMark/>
          </w:tcPr>
          <w:p w14:paraId="63216538" w14:textId="77777777" w:rsidR="00BD4D02" w:rsidRPr="00BD4D02" w:rsidRDefault="00BD4D02" w:rsidP="00BD4D02">
            <w:pPr>
              <w:rPr>
                <w:sz w:val="20"/>
                <w:szCs w:val="20"/>
              </w:rPr>
            </w:pPr>
          </w:p>
        </w:tc>
        <w:tc>
          <w:tcPr>
            <w:tcW w:w="663" w:type="dxa"/>
            <w:shd w:val="clear" w:color="auto" w:fill="auto"/>
            <w:noWrap/>
            <w:vAlign w:val="bottom"/>
            <w:hideMark/>
          </w:tcPr>
          <w:p w14:paraId="13350896"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749723E7"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654944B6"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46DDD44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1180" w:type="dxa"/>
            <w:shd w:val="clear" w:color="auto" w:fill="auto"/>
            <w:noWrap/>
            <w:vAlign w:val="bottom"/>
            <w:hideMark/>
          </w:tcPr>
          <w:p w14:paraId="4724AF29"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5</w:t>
            </w:r>
          </w:p>
        </w:tc>
      </w:tr>
      <w:tr w:rsidR="00BD4D02" w:rsidRPr="00BD4D02" w14:paraId="1D1F6FB1" w14:textId="77777777" w:rsidTr="00050580">
        <w:trPr>
          <w:trHeight w:val="144"/>
        </w:trPr>
        <w:tc>
          <w:tcPr>
            <w:tcW w:w="4500" w:type="dxa"/>
            <w:shd w:val="clear" w:color="auto" w:fill="auto"/>
            <w:noWrap/>
            <w:vAlign w:val="bottom"/>
            <w:hideMark/>
          </w:tcPr>
          <w:p w14:paraId="423A0832" w14:textId="77777777" w:rsidR="00BD4D02" w:rsidRPr="00BD4D02" w:rsidRDefault="00BD4D02" w:rsidP="00BD4D02">
            <w:pPr>
              <w:ind w:firstLineChars="100" w:firstLine="201"/>
              <w:rPr>
                <w:rFonts w:ascii="Calibri" w:hAnsi="Calibri" w:cs="Calibri"/>
                <w:b/>
                <w:bCs/>
                <w:color w:val="000000"/>
                <w:sz w:val="20"/>
                <w:szCs w:val="20"/>
              </w:rPr>
            </w:pPr>
            <w:r w:rsidRPr="00BD4D02">
              <w:rPr>
                <w:rFonts w:ascii="Calibri" w:hAnsi="Calibri" w:cs="Calibri"/>
                <w:b/>
                <w:bCs/>
                <w:color w:val="000000"/>
                <w:sz w:val="20"/>
                <w:szCs w:val="20"/>
              </w:rPr>
              <w:t>Foreign content - financial support</w:t>
            </w:r>
          </w:p>
        </w:tc>
        <w:tc>
          <w:tcPr>
            <w:tcW w:w="770" w:type="dxa"/>
            <w:shd w:val="clear" w:color="auto" w:fill="auto"/>
            <w:noWrap/>
            <w:vAlign w:val="bottom"/>
            <w:hideMark/>
          </w:tcPr>
          <w:p w14:paraId="47594A31"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w:t>
            </w:r>
          </w:p>
        </w:tc>
        <w:tc>
          <w:tcPr>
            <w:tcW w:w="663" w:type="dxa"/>
            <w:shd w:val="clear" w:color="auto" w:fill="auto"/>
            <w:noWrap/>
            <w:vAlign w:val="bottom"/>
            <w:hideMark/>
          </w:tcPr>
          <w:p w14:paraId="47802672"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w:t>
            </w:r>
          </w:p>
        </w:tc>
        <w:tc>
          <w:tcPr>
            <w:tcW w:w="663" w:type="dxa"/>
            <w:shd w:val="clear" w:color="auto" w:fill="auto"/>
            <w:noWrap/>
            <w:vAlign w:val="bottom"/>
            <w:hideMark/>
          </w:tcPr>
          <w:p w14:paraId="1A4FCBCB"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w:t>
            </w:r>
          </w:p>
        </w:tc>
        <w:tc>
          <w:tcPr>
            <w:tcW w:w="663" w:type="dxa"/>
            <w:shd w:val="clear" w:color="auto" w:fill="auto"/>
            <w:noWrap/>
            <w:vAlign w:val="bottom"/>
            <w:hideMark/>
          </w:tcPr>
          <w:p w14:paraId="0249DF33"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w:t>
            </w:r>
          </w:p>
        </w:tc>
        <w:tc>
          <w:tcPr>
            <w:tcW w:w="663" w:type="dxa"/>
            <w:shd w:val="clear" w:color="auto" w:fill="auto"/>
            <w:noWrap/>
            <w:vAlign w:val="bottom"/>
            <w:hideMark/>
          </w:tcPr>
          <w:p w14:paraId="670460B2"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w:t>
            </w:r>
          </w:p>
        </w:tc>
        <w:tc>
          <w:tcPr>
            <w:tcW w:w="663" w:type="dxa"/>
            <w:shd w:val="clear" w:color="auto" w:fill="auto"/>
            <w:noWrap/>
            <w:vAlign w:val="bottom"/>
            <w:hideMark/>
          </w:tcPr>
          <w:p w14:paraId="2DFE7D36"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w:t>
            </w:r>
          </w:p>
        </w:tc>
        <w:tc>
          <w:tcPr>
            <w:tcW w:w="663" w:type="dxa"/>
            <w:shd w:val="clear" w:color="auto" w:fill="auto"/>
            <w:noWrap/>
            <w:vAlign w:val="bottom"/>
            <w:hideMark/>
          </w:tcPr>
          <w:p w14:paraId="1716445B"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w:t>
            </w:r>
          </w:p>
        </w:tc>
        <w:tc>
          <w:tcPr>
            <w:tcW w:w="663" w:type="dxa"/>
            <w:shd w:val="clear" w:color="auto" w:fill="auto"/>
            <w:noWrap/>
            <w:vAlign w:val="bottom"/>
            <w:hideMark/>
          </w:tcPr>
          <w:p w14:paraId="4C491254"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2</w:t>
            </w:r>
          </w:p>
        </w:tc>
        <w:tc>
          <w:tcPr>
            <w:tcW w:w="663" w:type="dxa"/>
            <w:shd w:val="clear" w:color="auto" w:fill="auto"/>
            <w:noWrap/>
            <w:vAlign w:val="bottom"/>
            <w:hideMark/>
          </w:tcPr>
          <w:p w14:paraId="2A50EDFE"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2</w:t>
            </w:r>
          </w:p>
        </w:tc>
        <w:tc>
          <w:tcPr>
            <w:tcW w:w="663" w:type="dxa"/>
            <w:shd w:val="clear" w:color="auto" w:fill="auto"/>
            <w:noWrap/>
            <w:vAlign w:val="bottom"/>
            <w:hideMark/>
          </w:tcPr>
          <w:p w14:paraId="7DC6FC11"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2</w:t>
            </w:r>
          </w:p>
        </w:tc>
        <w:tc>
          <w:tcPr>
            <w:tcW w:w="663" w:type="dxa"/>
            <w:shd w:val="clear" w:color="auto" w:fill="auto"/>
            <w:noWrap/>
            <w:vAlign w:val="bottom"/>
            <w:hideMark/>
          </w:tcPr>
          <w:p w14:paraId="55C10D5D" w14:textId="77777777" w:rsidR="00BD4D02" w:rsidRPr="00BD4D02" w:rsidRDefault="00BD4D02" w:rsidP="00BD4D02">
            <w:pPr>
              <w:jc w:val="right"/>
              <w:rPr>
                <w:rFonts w:ascii="Calibri" w:hAnsi="Calibri" w:cs="Calibri"/>
                <w:b/>
                <w:bCs/>
                <w:color w:val="000000"/>
                <w:sz w:val="20"/>
                <w:szCs w:val="20"/>
              </w:rPr>
            </w:pPr>
          </w:p>
        </w:tc>
        <w:tc>
          <w:tcPr>
            <w:tcW w:w="663" w:type="dxa"/>
            <w:shd w:val="clear" w:color="auto" w:fill="auto"/>
            <w:noWrap/>
            <w:vAlign w:val="bottom"/>
            <w:hideMark/>
          </w:tcPr>
          <w:p w14:paraId="6A2A85EB" w14:textId="77777777" w:rsidR="00BD4D02" w:rsidRPr="00BD4D02" w:rsidRDefault="00BD4D02" w:rsidP="00BD4D02">
            <w:pPr>
              <w:rPr>
                <w:sz w:val="20"/>
                <w:szCs w:val="20"/>
              </w:rPr>
            </w:pPr>
          </w:p>
        </w:tc>
        <w:tc>
          <w:tcPr>
            <w:tcW w:w="1180" w:type="dxa"/>
            <w:shd w:val="clear" w:color="auto" w:fill="auto"/>
            <w:noWrap/>
            <w:vAlign w:val="bottom"/>
            <w:hideMark/>
          </w:tcPr>
          <w:p w14:paraId="7C60801A"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13</w:t>
            </w:r>
          </w:p>
        </w:tc>
      </w:tr>
      <w:tr w:rsidR="00BD4D02" w:rsidRPr="00BD4D02" w14:paraId="5EB04AE9" w14:textId="77777777" w:rsidTr="00050580">
        <w:trPr>
          <w:trHeight w:val="144"/>
        </w:trPr>
        <w:tc>
          <w:tcPr>
            <w:tcW w:w="4500" w:type="dxa"/>
            <w:shd w:val="clear" w:color="auto" w:fill="auto"/>
            <w:noWrap/>
            <w:vAlign w:val="bottom"/>
            <w:hideMark/>
          </w:tcPr>
          <w:p w14:paraId="5A0C91B8"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Expenditures</w:t>
            </w:r>
          </w:p>
        </w:tc>
        <w:tc>
          <w:tcPr>
            <w:tcW w:w="770" w:type="dxa"/>
            <w:shd w:val="clear" w:color="auto" w:fill="auto"/>
            <w:noWrap/>
            <w:vAlign w:val="bottom"/>
            <w:hideMark/>
          </w:tcPr>
          <w:p w14:paraId="2F3F376E"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273E4CE8"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1C1920DF"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0B0ED485"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52FBAD0F"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1C2B01E0"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38F3B7A8"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78D9743B"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494CF138"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27CEDFDD"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466EF80D"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2A2EF19A" w14:textId="77777777" w:rsidR="00BD4D02" w:rsidRPr="00BD4D02" w:rsidRDefault="00BD4D02" w:rsidP="00BD4D02">
            <w:pPr>
              <w:rPr>
                <w:sz w:val="20"/>
                <w:szCs w:val="20"/>
              </w:rPr>
            </w:pPr>
          </w:p>
        </w:tc>
        <w:tc>
          <w:tcPr>
            <w:tcW w:w="1180" w:type="dxa"/>
            <w:shd w:val="clear" w:color="auto" w:fill="auto"/>
            <w:noWrap/>
            <w:vAlign w:val="bottom"/>
            <w:hideMark/>
          </w:tcPr>
          <w:p w14:paraId="65F7637B"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13</w:t>
            </w:r>
          </w:p>
        </w:tc>
      </w:tr>
      <w:tr w:rsidR="00BD4D02" w:rsidRPr="00BD4D02" w14:paraId="51D56D08" w14:textId="77777777" w:rsidTr="00050580">
        <w:trPr>
          <w:trHeight w:val="144"/>
        </w:trPr>
        <w:tc>
          <w:tcPr>
            <w:tcW w:w="4500" w:type="dxa"/>
            <w:shd w:val="clear" w:color="auto" w:fill="auto"/>
            <w:noWrap/>
            <w:vAlign w:val="bottom"/>
            <w:hideMark/>
          </w:tcPr>
          <w:p w14:paraId="2C36B5B2" w14:textId="77777777" w:rsidR="00BD4D02" w:rsidRPr="00BD4D02" w:rsidRDefault="00BD4D02" w:rsidP="00BD4D02">
            <w:pPr>
              <w:ind w:firstLineChars="100" w:firstLine="201"/>
              <w:rPr>
                <w:rFonts w:ascii="Calibri" w:hAnsi="Calibri" w:cs="Calibri"/>
                <w:b/>
                <w:bCs/>
                <w:color w:val="000000"/>
                <w:sz w:val="20"/>
                <w:szCs w:val="20"/>
              </w:rPr>
            </w:pPr>
            <w:r w:rsidRPr="00BD4D02">
              <w:rPr>
                <w:rFonts w:ascii="Calibri" w:hAnsi="Calibri" w:cs="Calibri"/>
                <w:b/>
                <w:bCs/>
                <w:color w:val="000000"/>
                <w:sz w:val="20"/>
                <w:szCs w:val="20"/>
              </w:rPr>
              <w:t>News</w:t>
            </w:r>
          </w:p>
        </w:tc>
        <w:tc>
          <w:tcPr>
            <w:tcW w:w="770" w:type="dxa"/>
            <w:shd w:val="clear" w:color="auto" w:fill="auto"/>
            <w:noWrap/>
            <w:vAlign w:val="bottom"/>
            <w:hideMark/>
          </w:tcPr>
          <w:p w14:paraId="49E53A77" w14:textId="77777777" w:rsidR="00BD4D02" w:rsidRPr="00BD4D02" w:rsidRDefault="00BD4D02" w:rsidP="00BD4D02">
            <w:pPr>
              <w:ind w:firstLineChars="100" w:firstLine="201"/>
              <w:rPr>
                <w:rFonts w:ascii="Calibri" w:hAnsi="Calibri" w:cs="Calibri"/>
                <w:b/>
                <w:bCs/>
                <w:color w:val="000000"/>
                <w:sz w:val="20"/>
                <w:szCs w:val="20"/>
              </w:rPr>
            </w:pPr>
          </w:p>
        </w:tc>
        <w:tc>
          <w:tcPr>
            <w:tcW w:w="663" w:type="dxa"/>
            <w:shd w:val="clear" w:color="auto" w:fill="auto"/>
            <w:noWrap/>
            <w:vAlign w:val="bottom"/>
            <w:hideMark/>
          </w:tcPr>
          <w:p w14:paraId="7A00C809" w14:textId="77777777" w:rsidR="00BD4D02" w:rsidRPr="00BD4D02" w:rsidRDefault="00BD4D02" w:rsidP="00BD4D02">
            <w:pPr>
              <w:rPr>
                <w:sz w:val="20"/>
                <w:szCs w:val="20"/>
              </w:rPr>
            </w:pPr>
          </w:p>
        </w:tc>
        <w:tc>
          <w:tcPr>
            <w:tcW w:w="663" w:type="dxa"/>
            <w:shd w:val="clear" w:color="auto" w:fill="auto"/>
            <w:noWrap/>
            <w:vAlign w:val="bottom"/>
            <w:hideMark/>
          </w:tcPr>
          <w:p w14:paraId="0B06F530" w14:textId="77777777" w:rsidR="00BD4D02" w:rsidRPr="00BD4D02" w:rsidRDefault="00BD4D02" w:rsidP="00BD4D02">
            <w:pPr>
              <w:rPr>
                <w:sz w:val="20"/>
                <w:szCs w:val="20"/>
              </w:rPr>
            </w:pPr>
          </w:p>
        </w:tc>
        <w:tc>
          <w:tcPr>
            <w:tcW w:w="663" w:type="dxa"/>
            <w:shd w:val="clear" w:color="auto" w:fill="auto"/>
            <w:noWrap/>
            <w:vAlign w:val="bottom"/>
            <w:hideMark/>
          </w:tcPr>
          <w:p w14:paraId="24F8E5EA"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2</w:t>
            </w:r>
          </w:p>
        </w:tc>
        <w:tc>
          <w:tcPr>
            <w:tcW w:w="663" w:type="dxa"/>
            <w:shd w:val="clear" w:color="auto" w:fill="auto"/>
            <w:noWrap/>
            <w:vAlign w:val="bottom"/>
            <w:hideMark/>
          </w:tcPr>
          <w:p w14:paraId="7B9913AD"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2</w:t>
            </w:r>
          </w:p>
        </w:tc>
        <w:tc>
          <w:tcPr>
            <w:tcW w:w="663" w:type="dxa"/>
            <w:shd w:val="clear" w:color="auto" w:fill="auto"/>
            <w:noWrap/>
            <w:vAlign w:val="bottom"/>
            <w:hideMark/>
          </w:tcPr>
          <w:p w14:paraId="3A94D39A"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3</w:t>
            </w:r>
          </w:p>
        </w:tc>
        <w:tc>
          <w:tcPr>
            <w:tcW w:w="663" w:type="dxa"/>
            <w:shd w:val="clear" w:color="auto" w:fill="auto"/>
            <w:noWrap/>
            <w:vAlign w:val="bottom"/>
            <w:hideMark/>
          </w:tcPr>
          <w:p w14:paraId="7A86893E"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3</w:t>
            </w:r>
          </w:p>
        </w:tc>
        <w:tc>
          <w:tcPr>
            <w:tcW w:w="663" w:type="dxa"/>
            <w:shd w:val="clear" w:color="auto" w:fill="auto"/>
            <w:noWrap/>
            <w:vAlign w:val="bottom"/>
            <w:hideMark/>
          </w:tcPr>
          <w:p w14:paraId="164C089C"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3</w:t>
            </w:r>
          </w:p>
        </w:tc>
        <w:tc>
          <w:tcPr>
            <w:tcW w:w="663" w:type="dxa"/>
            <w:shd w:val="clear" w:color="auto" w:fill="auto"/>
            <w:noWrap/>
            <w:vAlign w:val="bottom"/>
            <w:hideMark/>
          </w:tcPr>
          <w:p w14:paraId="7DF31086" w14:textId="77777777" w:rsidR="00BD4D02" w:rsidRPr="00BD4D02" w:rsidRDefault="00BD4D02" w:rsidP="00BD4D02">
            <w:pPr>
              <w:jc w:val="right"/>
              <w:rPr>
                <w:rFonts w:ascii="Calibri" w:hAnsi="Calibri" w:cs="Calibri"/>
                <w:b/>
                <w:bCs/>
                <w:color w:val="000000"/>
                <w:sz w:val="20"/>
                <w:szCs w:val="20"/>
              </w:rPr>
            </w:pPr>
          </w:p>
        </w:tc>
        <w:tc>
          <w:tcPr>
            <w:tcW w:w="663" w:type="dxa"/>
            <w:shd w:val="clear" w:color="auto" w:fill="auto"/>
            <w:noWrap/>
            <w:vAlign w:val="bottom"/>
            <w:hideMark/>
          </w:tcPr>
          <w:p w14:paraId="70CDEC4C" w14:textId="77777777" w:rsidR="00BD4D02" w:rsidRPr="00BD4D02" w:rsidRDefault="00BD4D02" w:rsidP="00BD4D02">
            <w:pPr>
              <w:rPr>
                <w:sz w:val="20"/>
                <w:szCs w:val="20"/>
              </w:rPr>
            </w:pPr>
          </w:p>
        </w:tc>
        <w:tc>
          <w:tcPr>
            <w:tcW w:w="663" w:type="dxa"/>
            <w:shd w:val="clear" w:color="auto" w:fill="auto"/>
            <w:noWrap/>
            <w:vAlign w:val="bottom"/>
            <w:hideMark/>
          </w:tcPr>
          <w:p w14:paraId="26EF171F" w14:textId="77777777" w:rsidR="00BD4D02" w:rsidRPr="00BD4D02" w:rsidRDefault="00BD4D02" w:rsidP="00BD4D02">
            <w:pPr>
              <w:rPr>
                <w:sz w:val="20"/>
                <w:szCs w:val="20"/>
              </w:rPr>
            </w:pPr>
          </w:p>
        </w:tc>
        <w:tc>
          <w:tcPr>
            <w:tcW w:w="663" w:type="dxa"/>
            <w:shd w:val="clear" w:color="auto" w:fill="auto"/>
            <w:noWrap/>
            <w:vAlign w:val="bottom"/>
            <w:hideMark/>
          </w:tcPr>
          <w:p w14:paraId="3D56CF50" w14:textId="77777777" w:rsidR="00BD4D02" w:rsidRPr="00BD4D02" w:rsidRDefault="00BD4D02" w:rsidP="00BD4D02">
            <w:pPr>
              <w:rPr>
                <w:sz w:val="20"/>
                <w:szCs w:val="20"/>
              </w:rPr>
            </w:pPr>
          </w:p>
        </w:tc>
        <w:tc>
          <w:tcPr>
            <w:tcW w:w="1180" w:type="dxa"/>
            <w:shd w:val="clear" w:color="auto" w:fill="auto"/>
            <w:noWrap/>
            <w:vAlign w:val="bottom"/>
            <w:hideMark/>
          </w:tcPr>
          <w:p w14:paraId="465BFBBD"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13</w:t>
            </w:r>
          </w:p>
        </w:tc>
      </w:tr>
      <w:tr w:rsidR="00BD4D02" w:rsidRPr="00BD4D02" w14:paraId="4067050B" w14:textId="77777777" w:rsidTr="00050580">
        <w:trPr>
          <w:trHeight w:val="144"/>
        </w:trPr>
        <w:tc>
          <w:tcPr>
            <w:tcW w:w="4500" w:type="dxa"/>
            <w:shd w:val="clear" w:color="auto" w:fill="auto"/>
            <w:noWrap/>
            <w:vAlign w:val="bottom"/>
            <w:hideMark/>
          </w:tcPr>
          <w:p w14:paraId="03C4B0EA"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LPIF</w:t>
            </w:r>
          </w:p>
        </w:tc>
        <w:tc>
          <w:tcPr>
            <w:tcW w:w="770" w:type="dxa"/>
            <w:shd w:val="clear" w:color="auto" w:fill="auto"/>
            <w:noWrap/>
            <w:vAlign w:val="bottom"/>
            <w:hideMark/>
          </w:tcPr>
          <w:p w14:paraId="2BC3AECA"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0D15548D" w14:textId="77777777" w:rsidR="00BD4D02" w:rsidRPr="00BD4D02" w:rsidRDefault="00BD4D02" w:rsidP="00BD4D02">
            <w:pPr>
              <w:rPr>
                <w:sz w:val="20"/>
                <w:szCs w:val="20"/>
              </w:rPr>
            </w:pPr>
          </w:p>
        </w:tc>
        <w:tc>
          <w:tcPr>
            <w:tcW w:w="663" w:type="dxa"/>
            <w:shd w:val="clear" w:color="auto" w:fill="auto"/>
            <w:noWrap/>
            <w:vAlign w:val="bottom"/>
            <w:hideMark/>
          </w:tcPr>
          <w:p w14:paraId="06595E8C" w14:textId="77777777" w:rsidR="00BD4D02" w:rsidRPr="00BD4D02" w:rsidRDefault="00BD4D02" w:rsidP="00BD4D02">
            <w:pPr>
              <w:rPr>
                <w:sz w:val="20"/>
                <w:szCs w:val="20"/>
              </w:rPr>
            </w:pPr>
          </w:p>
        </w:tc>
        <w:tc>
          <w:tcPr>
            <w:tcW w:w="663" w:type="dxa"/>
            <w:shd w:val="clear" w:color="auto" w:fill="auto"/>
            <w:noWrap/>
            <w:vAlign w:val="bottom"/>
            <w:hideMark/>
          </w:tcPr>
          <w:p w14:paraId="2D8CD29D"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0E789BE4"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44013EE9"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w:t>
            </w:r>
          </w:p>
        </w:tc>
        <w:tc>
          <w:tcPr>
            <w:tcW w:w="663" w:type="dxa"/>
            <w:shd w:val="clear" w:color="auto" w:fill="auto"/>
            <w:noWrap/>
            <w:vAlign w:val="bottom"/>
            <w:hideMark/>
          </w:tcPr>
          <w:p w14:paraId="7ED75C9D"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w:t>
            </w:r>
          </w:p>
        </w:tc>
        <w:tc>
          <w:tcPr>
            <w:tcW w:w="663" w:type="dxa"/>
            <w:shd w:val="clear" w:color="auto" w:fill="auto"/>
            <w:noWrap/>
            <w:vAlign w:val="bottom"/>
            <w:hideMark/>
          </w:tcPr>
          <w:p w14:paraId="2708E96C"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w:t>
            </w:r>
          </w:p>
        </w:tc>
        <w:tc>
          <w:tcPr>
            <w:tcW w:w="663" w:type="dxa"/>
            <w:shd w:val="clear" w:color="auto" w:fill="auto"/>
            <w:noWrap/>
            <w:vAlign w:val="bottom"/>
            <w:hideMark/>
          </w:tcPr>
          <w:p w14:paraId="1BEFADC7"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54EA6117" w14:textId="77777777" w:rsidR="00BD4D02" w:rsidRPr="00BD4D02" w:rsidRDefault="00BD4D02" w:rsidP="00BD4D02">
            <w:pPr>
              <w:rPr>
                <w:sz w:val="20"/>
                <w:szCs w:val="20"/>
              </w:rPr>
            </w:pPr>
          </w:p>
        </w:tc>
        <w:tc>
          <w:tcPr>
            <w:tcW w:w="663" w:type="dxa"/>
            <w:shd w:val="clear" w:color="auto" w:fill="auto"/>
            <w:noWrap/>
            <w:vAlign w:val="bottom"/>
            <w:hideMark/>
          </w:tcPr>
          <w:p w14:paraId="3E9B993B" w14:textId="77777777" w:rsidR="00BD4D02" w:rsidRPr="00BD4D02" w:rsidRDefault="00BD4D02" w:rsidP="00BD4D02">
            <w:pPr>
              <w:rPr>
                <w:sz w:val="20"/>
                <w:szCs w:val="20"/>
              </w:rPr>
            </w:pPr>
          </w:p>
        </w:tc>
        <w:tc>
          <w:tcPr>
            <w:tcW w:w="663" w:type="dxa"/>
            <w:shd w:val="clear" w:color="auto" w:fill="auto"/>
            <w:noWrap/>
            <w:vAlign w:val="bottom"/>
            <w:hideMark/>
          </w:tcPr>
          <w:p w14:paraId="72523928" w14:textId="77777777" w:rsidR="00BD4D02" w:rsidRPr="00BD4D02" w:rsidRDefault="00BD4D02" w:rsidP="00BD4D02">
            <w:pPr>
              <w:rPr>
                <w:sz w:val="20"/>
                <w:szCs w:val="20"/>
              </w:rPr>
            </w:pPr>
          </w:p>
        </w:tc>
        <w:tc>
          <w:tcPr>
            <w:tcW w:w="1180" w:type="dxa"/>
            <w:shd w:val="clear" w:color="auto" w:fill="auto"/>
            <w:noWrap/>
            <w:vAlign w:val="bottom"/>
            <w:hideMark/>
          </w:tcPr>
          <w:p w14:paraId="5767B3BC"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13</w:t>
            </w:r>
          </w:p>
        </w:tc>
      </w:tr>
      <w:tr w:rsidR="00BD4D02" w:rsidRPr="00BD4D02" w14:paraId="11C4D665" w14:textId="77777777" w:rsidTr="00050580">
        <w:trPr>
          <w:trHeight w:val="144"/>
        </w:trPr>
        <w:tc>
          <w:tcPr>
            <w:tcW w:w="4500" w:type="dxa"/>
            <w:shd w:val="clear" w:color="auto" w:fill="auto"/>
            <w:noWrap/>
            <w:vAlign w:val="bottom"/>
            <w:hideMark/>
          </w:tcPr>
          <w:p w14:paraId="4B39575B" w14:textId="77777777" w:rsidR="00BD4D02" w:rsidRPr="00BD4D02" w:rsidRDefault="00BD4D02" w:rsidP="00BD4D02">
            <w:pPr>
              <w:ind w:firstLineChars="100" w:firstLine="201"/>
              <w:rPr>
                <w:rFonts w:ascii="Calibri" w:hAnsi="Calibri" w:cs="Calibri"/>
                <w:b/>
                <w:bCs/>
                <w:color w:val="000000"/>
                <w:sz w:val="20"/>
                <w:szCs w:val="20"/>
              </w:rPr>
            </w:pPr>
            <w:r w:rsidRPr="00BD4D02">
              <w:rPr>
                <w:rFonts w:ascii="Calibri" w:hAnsi="Calibri" w:cs="Calibri"/>
                <w:b/>
                <w:bCs/>
                <w:color w:val="000000"/>
                <w:sz w:val="20"/>
                <w:szCs w:val="20"/>
              </w:rPr>
              <w:t>Content - source</w:t>
            </w:r>
          </w:p>
        </w:tc>
        <w:tc>
          <w:tcPr>
            <w:tcW w:w="770" w:type="dxa"/>
            <w:shd w:val="clear" w:color="auto" w:fill="auto"/>
            <w:noWrap/>
            <w:vAlign w:val="bottom"/>
            <w:hideMark/>
          </w:tcPr>
          <w:p w14:paraId="71D90829"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w:t>
            </w:r>
          </w:p>
        </w:tc>
        <w:tc>
          <w:tcPr>
            <w:tcW w:w="663" w:type="dxa"/>
            <w:shd w:val="clear" w:color="auto" w:fill="auto"/>
            <w:noWrap/>
            <w:vAlign w:val="bottom"/>
            <w:hideMark/>
          </w:tcPr>
          <w:p w14:paraId="2E1AFF63"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w:t>
            </w:r>
          </w:p>
        </w:tc>
        <w:tc>
          <w:tcPr>
            <w:tcW w:w="663" w:type="dxa"/>
            <w:shd w:val="clear" w:color="auto" w:fill="auto"/>
            <w:noWrap/>
            <w:vAlign w:val="bottom"/>
            <w:hideMark/>
          </w:tcPr>
          <w:p w14:paraId="5CC4416B"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w:t>
            </w:r>
          </w:p>
        </w:tc>
        <w:tc>
          <w:tcPr>
            <w:tcW w:w="663" w:type="dxa"/>
            <w:shd w:val="clear" w:color="auto" w:fill="auto"/>
            <w:noWrap/>
            <w:vAlign w:val="bottom"/>
            <w:hideMark/>
          </w:tcPr>
          <w:p w14:paraId="700E9882"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w:t>
            </w:r>
          </w:p>
        </w:tc>
        <w:tc>
          <w:tcPr>
            <w:tcW w:w="663" w:type="dxa"/>
            <w:shd w:val="clear" w:color="auto" w:fill="auto"/>
            <w:noWrap/>
            <w:vAlign w:val="bottom"/>
            <w:hideMark/>
          </w:tcPr>
          <w:p w14:paraId="7AFDAFFB" w14:textId="77777777" w:rsidR="00BD4D02" w:rsidRPr="00BD4D02" w:rsidRDefault="00BD4D02" w:rsidP="00BD4D02">
            <w:pPr>
              <w:jc w:val="right"/>
              <w:rPr>
                <w:rFonts w:ascii="Calibri" w:hAnsi="Calibri" w:cs="Calibri"/>
                <w:b/>
                <w:bCs/>
                <w:color w:val="000000"/>
                <w:sz w:val="20"/>
                <w:szCs w:val="20"/>
              </w:rPr>
            </w:pPr>
          </w:p>
        </w:tc>
        <w:tc>
          <w:tcPr>
            <w:tcW w:w="663" w:type="dxa"/>
            <w:shd w:val="clear" w:color="auto" w:fill="auto"/>
            <w:noWrap/>
            <w:vAlign w:val="bottom"/>
            <w:hideMark/>
          </w:tcPr>
          <w:p w14:paraId="71551AA7" w14:textId="77777777" w:rsidR="00BD4D02" w:rsidRPr="00BD4D02" w:rsidRDefault="00BD4D02" w:rsidP="00BD4D02">
            <w:pPr>
              <w:rPr>
                <w:sz w:val="20"/>
                <w:szCs w:val="20"/>
              </w:rPr>
            </w:pPr>
          </w:p>
        </w:tc>
        <w:tc>
          <w:tcPr>
            <w:tcW w:w="663" w:type="dxa"/>
            <w:shd w:val="clear" w:color="auto" w:fill="auto"/>
            <w:noWrap/>
            <w:vAlign w:val="bottom"/>
            <w:hideMark/>
          </w:tcPr>
          <w:p w14:paraId="68EC7D37"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w:t>
            </w:r>
          </w:p>
        </w:tc>
        <w:tc>
          <w:tcPr>
            <w:tcW w:w="663" w:type="dxa"/>
            <w:shd w:val="clear" w:color="auto" w:fill="auto"/>
            <w:noWrap/>
            <w:vAlign w:val="bottom"/>
            <w:hideMark/>
          </w:tcPr>
          <w:p w14:paraId="538C8D42"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w:t>
            </w:r>
          </w:p>
        </w:tc>
        <w:tc>
          <w:tcPr>
            <w:tcW w:w="663" w:type="dxa"/>
            <w:shd w:val="clear" w:color="auto" w:fill="auto"/>
            <w:noWrap/>
            <w:vAlign w:val="bottom"/>
            <w:hideMark/>
          </w:tcPr>
          <w:p w14:paraId="5213F47E"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w:t>
            </w:r>
          </w:p>
        </w:tc>
        <w:tc>
          <w:tcPr>
            <w:tcW w:w="663" w:type="dxa"/>
            <w:shd w:val="clear" w:color="auto" w:fill="auto"/>
            <w:noWrap/>
            <w:vAlign w:val="bottom"/>
            <w:hideMark/>
          </w:tcPr>
          <w:p w14:paraId="6297659B"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w:t>
            </w:r>
          </w:p>
        </w:tc>
        <w:tc>
          <w:tcPr>
            <w:tcW w:w="663" w:type="dxa"/>
            <w:shd w:val="clear" w:color="auto" w:fill="auto"/>
            <w:noWrap/>
            <w:vAlign w:val="bottom"/>
            <w:hideMark/>
          </w:tcPr>
          <w:p w14:paraId="6521D15C" w14:textId="77777777" w:rsidR="00BD4D02" w:rsidRPr="00BD4D02" w:rsidRDefault="00BD4D02" w:rsidP="00BD4D02">
            <w:pPr>
              <w:jc w:val="right"/>
              <w:rPr>
                <w:rFonts w:ascii="Calibri" w:hAnsi="Calibri" w:cs="Calibri"/>
                <w:b/>
                <w:bCs/>
                <w:color w:val="000000"/>
                <w:sz w:val="20"/>
                <w:szCs w:val="20"/>
              </w:rPr>
            </w:pPr>
          </w:p>
        </w:tc>
        <w:tc>
          <w:tcPr>
            <w:tcW w:w="663" w:type="dxa"/>
            <w:shd w:val="clear" w:color="auto" w:fill="auto"/>
            <w:noWrap/>
            <w:vAlign w:val="bottom"/>
            <w:hideMark/>
          </w:tcPr>
          <w:p w14:paraId="5D699F65" w14:textId="77777777" w:rsidR="00BD4D02" w:rsidRPr="00BD4D02" w:rsidRDefault="00BD4D02" w:rsidP="00BD4D02">
            <w:pPr>
              <w:rPr>
                <w:sz w:val="20"/>
                <w:szCs w:val="20"/>
              </w:rPr>
            </w:pPr>
          </w:p>
        </w:tc>
        <w:tc>
          <w:tcPr>
            <w:tcW w:w="1180" w:type="dxa"/>
            <w:shd w:val="clear" w:color="auto" w:fill="auto"/>
            <w:noWrap/>
            <w:vAlign w:val="bottom"/>
            <w:hideMark/>
          </w:tcPr>
          <w:p w14:paraId="3814D1E3"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8</w:t>
            </w:r>
          </w:p>
        </w:tc>
      </w:tr>
      <w:tr w:rsidR="00BD4D02" w:rsidRPr="00BD4D02" w14:paraId="44A6D316" w14:textId="77777777" w:rsidTr="00050580">
        <w:trPr>
          <w:trHeight w:val="144"/>
        </w:trPr>
        <w:tc>
          <w:tcPr>
            <w:tcW w:w="4500" w:type="dxa"/>
            <w:shd w:val="clear" w:color="auto" w:fill="auto"/>
            <w:noWrap/>
            <w:vAlign w:val="bottom"/>
            <w:hideMark/>
          </w:tcPr>
          <w:p w14:paraId="4761ADDE"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Online audio - radio sources</w:t>
            </w:r>
          </w:p>
        </w:tc>
        <w:tc>
          <w:tcPr>
            <w:tcW w:w="770" w:type="dxa"/>
            <w:shd w:val="clear" w:color="auto" w:fill="auto"/>
            <w:noWrap/>
            <w:vAlign w:val="bottom"/>
            <w:hideMark/>
          </w:tcPr>
          <w:p w14:paraId="0957FAF0"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0F428223"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05872DFE"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2DFC225F"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3CBF59B9"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13E1E56D" w14:textId="77777777" w:rsidR="00BD4D02" w:rsidRPr="00BD4D02" w:rsidRDefault="00BD4D02" w:rsidP="00BD4D02">
            <w:pPr>
              <w:rPr>
                <w:sz w:val="20"/>
                <w:szCs w:val="20"/>
              </w:rPr>
            </w:pPr>
          </w:p>
        </w:tc>
        <w:tc>
          <w:tcPr>
            <w:tcW w:w="663" w:type="dxa"/>
            <w:shd w:val="clear" w:color="auto" w:fill="auto"/>
            <w:noWrap/>
            <w:vAlign w:val="bottom"/>
            <w:hideMark/>
          </w:tcPr>
          <w:p w14:paraId="5C2B4A8E" w14:textId="77777777" w:rsidR="00BD4D02" w:rsidRPr="00BD4D02" w:rsidRDefault="00BD4D02" w:rsidP="00BD4D02">
            <w:pPr>
              <w:rPr>
                <w:sz w:val="20"/>
                <w:szCs w:val="20"/>
              </w:rPr>
            </w:pPr>
          </w:p>
        </w:tc>
        <w:tc>
          <w:tcPr>
            <w:tcW w:w="663" w:type="dxa"/>
            <w:shd w:val="clear" w:color="auto" w:fill="auto"/>
            <w:noWrap/>
            <w:vAlign w:val="bottom"/>
            <w:hideMark/>
          </w:tcPr>
          <w:p w14:paraId="03D82020" w14:textId="77777777" w:rsidR="00BD4D02" w:rsidRPr="00BD4D02" w:rsidRDefault="00BD4D02" w:rsidP="00BD4D02">
            <w:pPr>
              <w:rPr>
                <w:sz w:val="20"/>
                <w:szCs w:val="20"/>
              </w:rPr>
            </w:pPr>
          </w:p>
        </w:tc>
        <w:tc>
          <w:tcPr>
            <w:tcW w:w="663" w:type="dxa"/>
            <w:shd w:val="clear" w:color="auto" w:fill="auto"/>
            <w:noWrap/>
            <w:vAlign w:val="bottom"/>
            <w:hideMark/>
          </w:tcPr>
          <w:p w14:paraId="15552CBE" w14:textId="77777777" w:rsidR="00BD4D02" w:rsidRPr="00BD4D02" w:rsidRDefault="00BD4D02" w:rsidP="00BD4D02">
            <w:pPr>
              <w:rPr>
                <w:sz w:val="20"/>
                <w:szCs w:val="20"/>
              </w:rPr>
            </w:pPr>
          </w:p>
        </w:tc>
        <w:tc>
          <w:tcPr>
            <w:tcW w:w="663" w:type="dxa"/>
            <w:shd w:val="clear" w:color="auto" w:fill="auto"/>
            <w:noWrap/>
            <w:vAlign w:val="bottom"/>
            <w:hideMark/>
          </w:tcPr>
          <w:p w14:paraId="7FA22294" w14:textId="77777777" w:rsidR="00BD4D02" w:rsidRPr="00BD4D02" w:rsidRDefault="00BD4D02" w:rsidP="00BD4D02">
            <w:pPr>
              <w:rPr>
                <w:sz w:val="20"/>
                <w:szCs w:val="20"/>
              </w:rPr>
            </w:pPr>
          </w:p>
        </w:tc>
        <w:tc>
          <w:tcPr>
            <w:tcW w:w="663" w:type="dxa"/>
            <w:shd w:val="clear" w:color="auto" w:fill="auto"/>
            <w:noWrap/>
            <w:vAlign w:val="bottom"/>
            <w:hideMark/>
          </w:tcPr>
          <w:p w14:paraId="0A157264" w14:textId="77777777" w:rsidR="00BD4D02" w:rsidRPr="00BD4D02" w:rsidRDefault="00BD4D02" w:rsidP="00BD4D02">
            <w:pPr>
              <w:rPr>
                <w:sz w:val="20"/>
                <w:szCs w:val="20"/>
              </w:rPr>
            </w:pPr>
          </w:p>
        </w:tc>
        <w:tc>
          <w:tcPr>
            <w:tcW w:w="663" w:type="dxa"/>
            <w:shd w:val="clear" w:color="auto" w:fill="auto"/>
            <w:noWrap/>
            <w:vAlign w:val="bottom"/>
            <w:hideMark/>
          </w:tcPr>
          <w:p w14:paraId="73D22C15" w14:textId="77777777" w:rsidR="00BD4D02" w:rsidRPr="00BD4D02" w:rsidRDefault="00BD4D02" w:rsidP="00BD4D02">
            <w:pPr>
              <w:rPr>
                <w:sz w:val="20"/>
                <w:szCs w:val="20"/>
              </w:rPr>
            </w:pPr>
          </w:p>
        </w:tc>
        <w:tc>
          <w:tcPr>
            <w:tcW w:w="1180" w:type="dxa"/>
            <w:shd w:val="clear" w:color="auto" w:fill="auto"/>
            <w:noWrap/>
            <w:vAlign w:val="bottom"/>
            <w:hideMark/>
          </w:tcPr>
          <w:p w14:paraId="60F225F3"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4</w:t>
            </w:r>
          </w:p>
        </w:tc>
      </w:tr>
      <w:tr w:rsidR="00BD4D02" w:rsidRPr="00BD4D02" w14:paraId="372B9BD6" w14:textId="77777777" w:rsidTr="00050580">
        <w:trPr>
          <w:trHeight w:val="144"/>
        </w:trPr>
        <w:tc>
          <w:tcPr>
            <w:tcW w:w="4500" w:type="dxa"/>
            <w:shd w:val="clear" w:color="auto" w:fill="auto"/>
            <w:noWrap/>
            <w:vAlign w:val="bottom"/>
            <w:hideMark/>
          </w:tcPr>
          <w:p w14:paraId="4EFCDDD7"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Platforms</w:t>
            </w:r>
          </w:p>
        </w:tc>
        <w:tc>
          <w:tcPr>
            <w:tcW w:w="770" w:type="dxa"/>
            <w:shd w:val="clear" w:color="auto" w:fill="auto"/>
            <w:noWrap/>
            <w:vAlign w:val="bottom"/>
            <w:hideMark/>
          </w:tcPr>
          <w:p w14:paraId="55D75BB1"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41E5864B" w14:textId="77777777" w:rsidR="00BD4D02" w:rsidRPr="00BD4D02" w:rsidRDefault="00BD4D02" w:rsidP="00BD4D02">
            <w:pPr>
              <w:rPr>
                <w:sz w:val="20"/>
                <w:szCs w:val="20"/>
              </w:rPr>
            </w:pPr>
          </w:p>
        </w:tc>
        <w:tc>
          <w:tcPr>
            <w:tcW w:w="663" w:type="dxa"/>
            <w:shd w:val="clear" w:color="auto" w:fill="auto"/>
            <w:noWrap/>
            <w:vAlign w:val="bottom"/>
            <w:hideMark/>
          </w:tcPr>
          <w:p w14:paraId="1D5DC1CA" w14:textId="77777777" w:rsidR="00BD4D02" w:rsidRPr="00BD4D02" w:rsidRDefault="00BD4D02" w:rsidP="00BD4D02">
            <w:pPr>
              <w:rPr>
                <w:sz w:val="20"/>
                <w:szCs w:val="20"/>
              </w:rPr>
            </w:pPr>
          </w:p>
        </w:tc>
        <w:tc>
          <w:tcPr>
            <w:tcW w:w="663" w:type="dxa"/>
            <w:shd w:val="clear" w:color="auto" w:fill="auto"/>
            <w:noWrap/>
            <w:vAlign w:val="bottom"/>
            <w:hideMark/>
          </w:tcPr>
          <w:p w14:paraId="30E0345B" w14:textId="77777777" w:rsidR="00BD4D02" w:rsidRPr="00BD4D02" w:rsidRDefault="00BD4D02" w:rsidP="00BD4D02">
            <w:pPr>
              <w:rPr>
                <w:sz w:val="20"/>
                <w:szCs w:val="20"/>
              </w:rPr>
            </w:pPr>
          </w:p>
        </w:tc>
        <w:tc>
          <w:tcPr>
            <w:tcW w:w="663" w:type="dxa"/>
            <w:shd w:val="clear" w:color="auto" w:fill="auto"/>
            <w:noWrap/>
            <w:vAlign w:val="bottom"/>
            <w:hideMark/>
          </w:tcPr>
          <w:p w14:paraId="244555F6" w14:textId="77777777" w:rsidR="00BD4D02" w:rsidRPr="00BD4D02" w:rsidRDefault="00BD4D02" w:rsidP="00BD4D02">
            <w:pPr>
              <w:rPr>
                <w:sz w:val="20"/>
                <w:szCs w:val="20"/>
              </w:rPr>
            </w:pPr>
          </w:p>
        </w:tc>
        <w:tc>
          <w:tcPr>
            <w:tcW w:w="663" w:type="dxa"/>
            <w:shd w:val="clear" w:color="auto" w:fill="auto"/>
            <w:noWrap/>
            <w:vAlign w:val="bottom"/>
            <w:hideMark/>
          </w:tcPr>
          <w:p w14:paraId="12FF7C1C" w14:textId="77777777" w:rsidR="00BD4D02" w:rsidRPr="00BD4D02" w:rsidRDefault="00BD4D02" w:rsidP="00BD4D02">
            <w:pPr>
              <w:rPr>
                <w:sz w:val="20"/>
                <w:szCs w:val="20"/>
              </w:rPr>
            </w:pPr>
          </w:p>
        </w:tc>
        <w:tc>
          <w:tcPr>
            <w:tcW w:w="663" w:type="dxa"/>
            <w:shd w:val="clear" w:color="auto" w:fill="auto"/>
            <w:noWrap/>
            <w:vAlign w:val="bottom"/>
            <w:hideMark/>
          </w:tcPr>
          <w:p w14:paraId="6E490B6C"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0348127E"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7EFA20BF"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5CC72956"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5F89B303"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40A57413" w14:textId="77777777" w:rsidR="00BD4D02" w:rsidRPr="00BD4D02" w:rsidRDefault="00BD4D02" w:rsidP="00BD4D02">
            <w:pPr>
              <w:rPr>
                <w:sz w:val="20"/>
                <w:szCs w:val="20"/>
              </w:rPr>
            </w:pPr>
          </w:p>
        </w:tc>
        <w:tc>
          <w:tcPr>
            <w:tcW w:w="1180" w:type="dxa"/>
            <w:shd w:val="clear" w:color="auto" w:fill="auto"/>
            <w:noWrap/>
            <w:vAlign w:val="bottom"/>
            <w:hideMark/>
          </w:tcPr>
          <w:p w14:paraId="2662CBA7"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4</w:t>
            </w:r>
          </w:p>
        </w:tc>
      </w:tr>
      <w:tr w:rsidR="00BD4D02" w:rsidRPr="00BD4D02" w14:paraId="60B0EF8D" w14:textId="77777777" w:rsidTr="00050580">
        <w:trPr>
          <w:trHeight w:val="144"/>
        </w:trPr>
        <w:tc>
          <w:tcPr>
            <w:tcW w:w="4500" w:type="dxa"/>
            <w:shd w:val="clear" w:color="auto" w:fill="auto"/>
            <w:noWrap/>
            <w:vAlign w:val="bottom"/>
            <w:hideMark/>
          </w:tcPr>
          <w:p w14:paraId="1F06363D" w14:textId="77777777" w:rsidR="00BD4D02" w:rsidRPr="00BD4D02" w:rsidRDefault="00BD4D02" w:rsidP="00BD4D02">
            <w:pPr>
              <w:ind w:firstLineChars="100" w:firstLine="201"/>
              <w:rPr>
                <w:rFonts w:ascii="Calibri" w:hAnsi="Calibri" w:cs="Calibri"/>
                <w:b/>
                <w:bCs/>
                <w:color w:val="000000"/>
                <w:sz w:val="20"/>
                <w:szCs w:val="20"/>
              </w:rPr>
            </w:pPr>
            <w:r w:rsidRPr="00BD4D02">
              <w:rPr>
                <w:rFonts w:ascii="Calibri" w:hAnsi="Calibri" w:cs="Calibri"/>
                <w:b/>
                <w:bCs/>
                <w:color w:val="000000"/>
                <w:sz w:val="20"/>
                <w:szCs w:val="20"/>
              </w:rPr>
              <w:t>Content distribution</w:t>
            </w:r>
          </w:p>
        </w:tc>
        <w:tc>
          <w:tcPr>
            <w:tcW w:w="770" w:type="dxa"/>
            <w:shd w:val="clear" w:color="auto" w:fill="auto"/>
            <w:noWrap/>
            <w:vAlign w:val="bottom"/>
            <w:hideMark/>
          </w:tcPr>
          <w:p w14:paraId="4C5B7F4D"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w:t>
            </w:r>
          </w:p>
        </w:tc>
        <w:tc>
          <w:tcPr>
            <w:tcW w:w="663" w:type="dxa"/>
            <w:shd w:val="clear" w:color="auto" w:fill="auto"/>
            <w:noWrap/>
            <w:vAlign w:val="bottom"/>
            <w:hideMark/>
          </w:tcPr>
          <w:p w14:paraId="6D2F8F34"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w:t>
            </w:r>
          </w:p>
        </w:tc>
        <w:tc>
          <w:tcPr>
            <w:tcW w:w="663" w:type="dxa"/>
            <w:shd w:val="clear" w:color="auto" w:fill="auto"/>
            <w:noWrap/>
            <w:vAlign w:val="bottom"/>
            <w:hideMark/>
          </w:tcPr>
          <w:p w14:paraId="54959CC0"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w:t>
            </w:r>
          </w:p>
        </w:tc>
        <w:tc>
          <w:tcPr>
            <w:tcW w:w="663" w:type="dxa"/>
            <w:shd w:val="clear" w:color="auto" w:fill="auto"/>
            <w:noWrap/>
            <w:vAlign w:val="bottom"/>
            <w:hideMark/>
          </w:tcPr>
          <w:p w14:paraId="0AAB4A18"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w:t>
            </w:r>
          </w:p>
        </w:tc>
        <w:tc>
          <w:tcPr>
            <w:tcW w:w="663" w:type="dxa"/>
            <w:shd w:val="clear" w:color="auto" w:fill="auto"/>
            <w:noWrap/>
            <w:vAlign w:val="bottom"/>
            <w:hideMark/>
          </w:tcPr>
          <w:p w14:paraId="6846341D"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w:t>
            </w:r>
          </w:p>
        </w:tc>
        <w:tc>
          <w:tcPr>
            <w:tcW w:w="663" w:type="dxa"/>
            <w:shd w:val="clear" w:color="auto" w:fill="auto"/>
            <w:noWrap/>
            <w:vAlign w:val="bottom"/>
            <w:hideMark/>
          </w:tcPr>
          <w:p w14:paraId="684A1B9E" w14:textId="77777777" w:rsidR="00BD4D02" w:rsidRPr="00BD4D02" w:rsidRDefault="00BD4D02" w:rsidP="00BD4D02">
            <w:pPr>
              <w:jc w:val="right"/>
              <w:rPr>
                <w:rFonts w:ascii="Calibri" w:hAnsi="Calibri" w:cs="Calibri"/>
                <w:b/>
                <w:bCs/>
                <w:color w:val="000000"/>
                <w:sz w:val="20"/>
                <w:szCs w:val="20"/>
              </w:rPr>
            </w:pPr>
          </w:p>
        </w:tc>
        <w:tc>
          <w:tcPr>
            <w:tcW w:w="663" w:type="dxa"/>
            <w:shd w:val="clear" w:color="auto" w:fill="auto"/>
            <w:noWrap/>
            <w:vAlign w:val="bottom"/>
            <w:hideMark/>
          </w:tcPr>
          <w:p w14:paraId="7E12697E" w14:textId="77777777" w:rsidR="00BD4D02" w:rsidRPr="00BD4D02" w:rsidRDefault="00BD4D02" w:rsidP="00BD4D02">
            <w:pPr>
              <w:rPr>
                <w:sz w:val="20"/>
                <w:szCs w:val="20"/>
              </w:rPr>
            </w:pPr>
          </w:p>
        </w:tc>
        <w:tc>
          <w:tcPr>
            <w:tcW w:w="663" w:type="dxa"/>
            <w:shd w:val="clear" w:color="auto" w:fill="auto"/>
            <w:noWrap/>
            <w:vAlign w:val="bottom"/>
            <w:hideMark/>
          </w:tcPr>
          <w:p w14:paraId="2365F299" w14:textId="77777777" w:rsidR="00BD4D02" w:rsidRPr="00BD4D02" w:rsidRDefault="00BD4D02" w:rsidP="00BD4D02">
            <w:pPr>
              <w:rPr>
                <w:sz w:val="20"/>
                <w:szCs w:val="20"/>
              </w:rPr>
            </w:pPr>
          </w:p>
        </w:tc>
        <w:tc>
          <w:tcPr>
            <w:tcW w:w="663" w:type="dxa"/>
            <w:shd w:val="clear" w:color="auto" w:fill="auto"/>
            <w:noWrap/>
            <w:vAlign w:val="bottom"/>
            <w:hideMark/>
          </w:tcPr>
          <w:p w14:paraId="191899BF" w14:textId="77777777" w:rsidR="00BD4D02" w:rsidRPr="00BD4D02" w:rsidRDefault="00BD4D02" w:rsidP="00BD4D02">
            <w:pPr>
              <w:rPr>
                <w:sz w:val="20"/>
                <w:szCs w:val="20"/>
              </w:rPr>
            </w:pPr>
          </w:p>
        </w:tc>
        <w:tc>
          <w:tcPr>
            <w:tcW w:w="663" w:type="dxa"/>
            <w:shd w:val="clear" w:color="auto" w:fill="auto"/>
            <w:noWrap/>
            <w:vAlign w:val="bottom"/>
            <w:hideMark/>
          </w:tcPr>
          <w:p w14:paraId="5FCEF6C6" w14:textId="77777777" w:rsidR="00BD4D02" w:rsidRPr="00BD4D02" w:rsidRDefault="00BD4D02" w:rsidP="00BD4D02">
            <w:pPr>
              <w:rPr>
                <w:sz w:val="20"/>
                <w:szCs w:val="20"/>
              </w:rPr>
            </w:pPr>
          </w:p>
        </w:tc>
        <w:tc>
          <w:tcPr>
            <w:tcW w:w="663" w:type="dxa"/>
            <w:shd w:val="clear" w:color="auto" w:fill="auto"/>
            <w:noWrap/>
            <w:vAlign w:val="bottom"/>
            <w:hideMark/>
          </w:tcPr>
          <w:p w14:paraId="21DDE139" w14:textId="77777777" w:rsidR="00BD4D02" w:rsidRPr="00BD4D02" w:rsidRDefault="00BD4D02" w:rsidP="00BD4D02">
            <w:pPr>
              <w:rPr>
                <w:sz w:val="20"/>
                <w:szCs w:val="20"/>
              </w:rPr>
            </w:pPr>
          </w:p>
        </w:tc>
        <w:tc>
          <w:tcPr>
            <w:tcW w:w="663" w:type="dxa"/>
            <w:shd w:val="clear" w:color="auto" w:fill="auto"/>
            <w:noWrap/>
            <w:vAlign w:val="bottom"/>
            <w:hideMark/>
          </w:tcPr>
          <w:p w14:paraId="581612A2" w14:textId="77777777" w:rsidR="00BD4D02" w:rsidRPr="00BD4D02" w:rsidRDefault="00BD4D02" w:rsidP="00BD4D02">
            <w:pPr>
              <w:rPr>
                <w:sz w:val="20"/>
                <w:szCs w:val="20"/>
              </w:rPr>
            </w:pPr>
          </w:p>
        </w:tc>
        <w:tc>
          <w:tcPr>
            <w:tcW w:w="1180" w:type="dxa"/>
            <w:shd w:val="clear" w:color="auto" w:fill="auto"/>
            <w:noWrap/>
            <w:vAlign w:val="bottom"/>
            <w:hideMark/>
          </w:tcPr>
          <w:p w14:paraId="61D5C344"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5</w:t>
            </w:r>
          </w:p>
        </w:tc>
      </w:tr>
      <w:tr w:rsidR="00BD4D02" w:rsidRPr="00BD4D02" w14:paraId="412B304C" w14:textId="77777777" w:rsidTr="00050580">
        <w:trPr>
          <w:trHeight w:val="144"/>
        </w:trPr>
        <w:tc>
          <w:tcPr>
            <w:tcW w:w="4500" w:type="dxa"/>
            <w:shd w:val="clear" w:color="auto" w:fill="auto"/>
            <w:noWrap/>
            <w:vAlign w:val="bottom"/>
            <w:hideMark/>
          </w:tcPr>
          <w:p w14:paraId="7EE2EAFB"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Diagram</w:t>
            </w:r>
          </w:p>
        </w:tc>
        <w:tc>
          <w:tcPr>
            <w:tcW w:w="770" w:type="dxa"/>
            <w:shd w:val="clear" w:color="auto" w:fill="auto"/>
            <w:noWrap/>
            <w:vAlign w:val="bottom"/>
            <w:hideMark/>
          </w:tcPr>
          <w:p w14:paraId="625D9B90"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3C25D13C"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11D8B02F"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40EBB63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2DB95BB4"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3AFFE36E"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05C4C10A" w14:textId="77777777" w:rsidR="00BD4D02" w:rsidRPr="00BD4D02" w:rsidRDefault="00BD4D02" w:rsidP="00BD4D02">
            <w:pPr>
              <w:rPr>
                <w:sz w:val="20"/>
                <w:szCs w:val="20"/>
              </w:rPr>
            </w:pPr>
          </w:p>
        </w:tc>
        <w:tc>
          <w:tcPr>
            <w:tcW w:w="663" w:type="dxa"/>
            <w:shd w:val="clear" w:color="auto" w:fill="auto"/>
            <w:noWrap/>
            <w:vAlign w:val="bottom"/>
            <w:hideMark/>
          </w:tcPr>
          <w:p w14:paraId="682E5A72" w14:textId="77777777" w:rsidR="00BD4D02" w:rsidRPr="00BD4D02" w:rsidRDefault="00BD4D02" w:rsidP="00BD4D02">
            <w:pPr>
              <w:rPr>
                <w:sz w:val="20"/>
                <w:szCs w:val="20"/>
              </w:rPr>
            </w:pPr>
          </w:p>
        </w:tc>
        <w:tc>
          <w:tcPr>
            <w:tcW w:w="663" w:type="dxa"/>
            <w:shd w:val="clear" w:color="auto" w:fill="auto"/>
            <w:noWrap/>
            <w:vAlign w:val="bottom"/>
            <w:hideMark/>
          </w:tcPr>
          <w:p w14:paraId="5550C1FF" w14:textId="77777777" w:rsidR="00BD4D02" w:rsidRPr="00BD4D02" w:rsidRDefault="00BD4D02" w:rsidP="00BD4D02">
            <w:pPr>
              <w:rPr>
                <w:sz w:val="20"/>
                <w:szCs w:val="20"/>
              </w:rPr>
            </w:pPr>
          </w:p>
        </w:tc>
        <w:tc>
          <w:tcPr>
            <w:tcW w:w="663" w:type="dxa"/>
            <w:shd w:val="clear" w:color="auto" w:fill="auto"/>
            <w:noWrap/>
            <w:vAlign w:val="bottom"/>
            <w:hideMark/>
          </w:tcPr>
          <w:p w14:paraId="162F33C6" w14:textId="77777777" w:rsidR="00BD4D02" w:rsidRPr="00BD4D02" w:rsidRDefault="00BD4D02" w:rsidP="00BD4D02">
            <w:pPr>
              <w:rPr>
                <w:sz w:val="20"/>
                <w:szCs w:val="20"/>
              </w:rPr>
            </w:pPr>
          </w:p>
        </w:tc>
        <w:tc>
          <w:tcPr>
            <w:tcW w:w="663" w:type="dxa"/>
            <w:shd w:val="clear" w:color="auto" w:fill="auto"/>
            <w:noWrap/>
            <w:vAlign w:val="bottom"/>
            <w:hideMark/>
          </w:tcPr>
          <w:p w14:paraId="2BE1E821" w14:textId="77777777" w:rsidR="00BD4D02" w:rsidRPr="00BD4D02" w:rsidRDefault="00BD4D02" w:rsidP="00BD4D02">
            <w:pPr>
              <w:rPr>
                <w:sz w:val="20"/>
                <w:szCs w:val="20"/>
              </w:rPr>
            </w:pPr>
          </w:p>
        </w:tc>
        <w:tc>
          <w:tcPr>
            <w:tcW w:w="663" w:type="dxa"/>
            <w:shd w:val="clear" w:color="auto" w:fill="auto"/>
            <w:noWrap/>
            <w:vAlign w:val="bottom"/>
            <w:hideMark/>
          </w:tcPr>
          <w:p w14:paraId="1493127B" w14:textId="77777777" w:rsidR="00BD4D02" w:rsidRPr="00BD4D02" w:rsidRDefault="00BD4D02" w:rsidP="00BD4D02">
            <w:pPr>
              <w:rPr>
                <w:sz w:val="20"/>
                <w:szCs w:val="20"/>
              </w:rPr>
            </w:pPr>
          </w:p>
        </w:tc>
        <w:tc>
          <w:tcPr>
            <w:tcW w:w="1180" w:type="dxa"/>
            <w:shd w:val="clear" w:color="auto" w:fill="auto"/>
            <w:noWrap/>
            <w:vAlign w:val="bottom"/>
            <w:hideMark/>
          </w:tcPr>
          <w:p w14:paraId="6938C003"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5</w:t>
            </w:r>
          </w:p>
        </w:tc>
      </w:tr>
      <w:tr w:rsidR="00BD4D02" w:rsidRPr="00BD4D02" w14:paraId="7D582B0C" w14:textId="77777777" w:rsidTr="00050580">
        <w:trPr>
          <w:trHeight w:val="144"/>
        </w:trPr>
        <w:tc>
          <w:tcPr>
            <w:tcW w:w="4500" w:type="dxa"/>
            <w:shd w:val="clear" w:color="auto" w:fill="auto"/>
            <w:noWrap/>
            <w:vAlign w:val="bottom"/>
            <w:hideMark/>
          </w:tcPr>
          <w:p w14:paraId="30E89B18" w14:textId="77777777" w:rsidR="00BD4D02" w:rsidRPr="00BD4D02" w:rsidRDefault="00BD4D02" w:rsidP="00BD4D02">
            <w:pPr>
              <w:ind w:firstLineChars="100" w:firstLine="201"/>
              <w:rPr>
                <w:rFonts w:ascii="Calibri" w:hAnsi="Calibri" w:cs="Calibri"/>
                <w:b/>
                <w:bCs/>
                <w:color w:val="000000"/>
                <w:sz w:val="20"/>
                <w:szCs w:val="20"/>
              </w:rPr>
            </w:pPr>
            <w:r w:rsidRPr="00BD4D02">
              <w:rPr>
                <w:rFonts w:ascii="Calibri" w:hAnsi="Calibri" w:cs="Calibri"/>
                <w:b/>
                <w:bCs/>
                <w:color w:val="000000"/>
                <w:sz w:val="20"/>
                <w:szCs w:val="20"/>
              </w:rPr>
              <w:t>Affordability</w:t>
            </w:r>
          </w:p>
        </w:tc>
        <w:tc>
          <w:tcPr>
            <w:tcW w:w="770" w:type="dxa"/>
            <w:shd w:val="clear" w:color="auto" w:fill="auto"/>
            <w:noWrap/>
            <w:vAlign w:val="bottom"/>
            <w:hideMark/>
          </w:tcPr>
          <w:p w14:paraId="6692A622" w14:textId="77777777" w:rsidR="00BD4D02" w:rsidRPr="00BD4D02" w:rsidRDefault="00BD4D02" w:rsidP="00BD4D02">
            <w:pPr>
              <w:ind w:firstLineChars="100" w:firstLine="201"/>
              <w:rPr>
                <w:rFonts w:ascii="Calibri" w:hAnsi="Calibri" w:cs="Calibri"/>
                <w:b/>
                <w:bCs/>
                <w:color w:val="000000"/>
                <w:sz w:val="20"/>
                <w:szCs w:val="20"/>
              </w:rPr>
            </w:pPr>
          </w:p>
        </w:tc>
        <w:tc>
          <w:tcPr>
            <w:tcW w:w="663" w:type="dxa"/>
            <w:shd w:val="clear" w:color="auto" w:fill="auto"/>
            <w:noWrap/>
            <w:vAlign w:val="bottom"/>
            <w:hideMark/>
          </w:tcPr>
          <w:p w14:paraId="22FC4BF5" w14:textId="77777777" w:rsidR="00BD4D02" w:rsidRPr="00BD4D02" w:rsidRDefault="00BD4D02" w:rsidP="00BD4D02">
            <w:pPr>
              <w:rPr>
                <w:sz w:val="20"/>
                <w:szCs w:val="20"/>
              </w:rPr>
            </w:pPr>
          </w:p>
        </w:tc>
        <w:tc>
          <w:tcPr>
            <w:tcW w:w="663" w:type="dxa"/>
            <w:shd w:val="clear" w:color="auto" w:fill="auto"/>
            <w:noWrap/>
            <w:vAlign w:val="bottom"/>
            <w:hideMark/>
          </w:tcPr>
          <w:p w14:paraId="43FAB52B" w14:textId="77777777" w:rsidR="00BD4D02" w:rsidRPr="00BD4D02" w:rsidRDefault="00BD4D02" w:rsidP="00BD4D02">
            <w:pPr>
              <w:rPr>
                <w:sz w:val="20"/>
                <w:szCs w:val="20"/>
              </w:rPr>
            </w:pPr>
          </w:p>
        </w:tc>
        <w:tc>
          <w:tcPr>
            <w:tcW w:w="663" w:type="dxa"/>
            <w:shd w:val="clear" w:color="auto" w:fill="auto"/>
            <w:noWrap/>
            <w:vAlign w:val="bottom"/>
            <w:hideMark/>
          </w:tcPr>
          <w:p w14:paraId="0405112F" w14:textId="77777777" w:rsidR="00BD4D02" w:rsidRPr="00BD4D02" w:rsidRDefault="00BD4D02" w:rsidP="00BD4D02">
            <w:pPr>
              <w:rPr>
                <w:sz w:val="20"/>
                <w:szCs w:val="20"/>
              </w:rPr>
            </w:pPr>
          </w:p>
        </w:tc>
        <w:tc>
          <w:tcPr>
            <w:tcW w:w="663" w:type="dxa"/>
            <w:shd w:val="clear" w:color="auto" w:fill="auto"/>
            <w:noWrap/>
            <w:vAlign w:val="bottom"/>
            <w:hideMark/>
          </w:tcPr>
          <w:p w14:paraId="5170F464" w14:textId="77777777" w:rsidR="00BD4D02" w:rsidRPr="00BD4D02" w:rsidRDefault="00BD4D02" w:rsidP="00BD4D02">
            <w:pPr>
              <w:rPr>
                <w:sz w:val="20"/>
                <w:szCs w:val="20"/>
              </w:rPr>
            </w:pPr>
          </w:p>
        </w:tc>
        <w:tc>
          <w:tcPr>
            <w:tcW w:w="663" w:type="dxa"/>
            <w:shd w:val="clear" w:color="auto" w:fill="auto"/>
            <w:noWrap/>
            <w:vAlign w:val="bottom"/>
            <w:hideMark/>
          </w:tcPr>
          <w:p w14:paraId="755C82A2" w14:textId="77777777" w:rsidR="00BD4D02" w:rsidRPr="00BD4D02" w:rsidRDefault="00BD4D02" w:rsidP="00BD4D02">
            <w:pPr>
              <w:rPr>
                <w:sz w:val="20"/>
                <w:szCs w:val="20"/>
              </w:rPr>
            </w:pPr>
          </w:p>
        </w:tc>
        <w:tc>
          <w:tcPr>
            <w:tcW w:w="663" w:type="dxa"/>
            <w:shd w:val="clear" w:color="auto" w:fill="auto"/>
            <w:noWrap/>
            <w:vAlign w:val="bottom"/>
            <w:hideMark/>
          </w:tcPr>
          <w:p w14:paraId="790C66AD"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2</w:t>
            </w:r>
          </w:p>
        </w:tc>
        <w:tc>
          <w:tcPr>
            <w:tcW w:w="663" w:type="dxa"/>
            <w:shd w:val="clear" w:color="auto" w:fill="auto"/>
            <w:noWrap/>
            <w:vAlign w:val="bottom"/>
            <w:hideMark/>
          </w:tcPr>
          <w:p w14:paraId="6BCBF55A"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2</w:t>
            </w:r>
          </w:p>
        </w:tc>
        <w:tc>
          <w:tcPr>
            <w:tcW w:w="663" w:type="dxa"/>
            <w:shd w:val="clear" w:color="auto" w:fill="auto"/>
            <w:noWrap/>
            <w:vAlign w:val="bottom"/>
            <w:hideMark/>
          </w:tcPr>
          <w:p w14:paraId="0A907D4D"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2</w:t>
            </w:r>
          </w:p>
        </w:tc>
        <w:tc>
          <w:tcPr>
            <w:tcW w:w="663" w:type="dxa"/>
            <w:shd w:val="clear" w:color="auto" w:fill="auto"/>
            <w:noWrap/>
            <w:vAlign w:val="bottom"/>
            <w:hideMark/>
          </w:tcPr>
          <w:p w14:paraId="6423B356"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2</w:t>
            </w:r>
          </w:p>
        </w:tc>
        <w:tc>
          <w:tcPr>
            <w:tcW w:w="663" w:type="dxa"/>
            <w:shd w:val="clear" w:color="auto" w:fill="auto"/>
            <w:noWrap/>
            <w:vAlign w:val="bottom"/>
            <w:hideMark/>
          </w:tcPr>
          <w:p w14:paraId="48A3C534"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2</w:t>
            </w:r>
          </w:p>
        </w:tc>
        <w:tc>
          <w:tcPr>
            <w:tcW w:w="663" w:type="dxa"/>
            <w:shd w:val="clear" w:color="auto" w:fill="auto"/>
            <w:noWrap/>
            <w:vAlign w:val="bottom"/>
            <w:hideMark/>
          </w:tcPr>
          <w:p w14:paraId="4DD1495C"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w:t>
            </w:r>
          </w:p>
        </w:tc>
        <w:tc>
          <w:tcPr>
            <w:tcW w:w="1180" w:type="dxa"/>
            <w:shd w:val="clear" w:color="auto" w:fill="auto"/>
            <w:noWrap/>
            <w:vAlign w:val="bottom"/>
            <w:hideMark/>
          </w:tcPr>
          <w:p w14:paraId="70F836B8"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11</w:t>
            </w:r>
          </w:p>
        </w:tc>
      </w:tr>
      <w:tr w:rsidR="00BD4D02" w:rsidRPr="00BD4D02" w14:paraId="434B2138" w14:textId="77777777" w:rsidTr="00050580">
        <w:trPr>
          <w:trHeight w:val="144"/>
        </w:trPr>
        <w:tc>
          <w:tcPr>
            <w:tcW w:w="4500" w:type="dxa"/>
            <w:shd w:val="clear" w:color="auto" w:fill="auto"/>
            <w:noWrap/>
            <w:vAlign w:val="bottom"/>
            <w:hideMark/>
          </w:tcPr>
          <w:p w14:paraId="3A787574"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Prices - BDUs</w:t>
            </w:r>
          </w:p>
        </w:tc>
        <w:tc>
          <w:tcPr>
            <w:tcW w:w="770" w:type="dxa"/>
            <w:shd w:val="clear" w:color="auto" w:fill="auto"/>
            <w:noWrap/>
            <w:vAlign w:val="bottom"/>
            <w:hideMark/>
          </w:tcPr>
          <w:p w14:paraId="3A3EB3FD"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128BCA61" w14:textId="77777777" w:rsidR="00BD4D02" w:rsidRPr="00BD4D02" w:rsidRDefault="00BD4D02" w:rsidP="00BD4D02">
            <w:pPr>
              <w:rPr>
                <w:sz w:val="20"/>
                <w:szCs w:val="20"/>
              </w:rPr>
            </w:pPr>
          </w:p>
        </w:tc>
        <w:tc>
          <w:tcPr>
            <w:tcW w:w="663" w:type="dxa"/>
            <w:shd w:val="clear" w:color="auto" w:fill="auto"/>
            <w:noWrap/>
            <w:vAlign w:val="bottom"/>
            <w:hideMark/>
          </w:tcPr>
          <w:p w14:paraId="17DF9A12" w14:textId="77777777" w:rsidR="00BD4D02" w:rsidRPr="00BD4D02" w:rsidRDefault="00BD4D02" w:rsidP="00BD4D02">
            <w:pPr>
              <w:rPr>
                <w:sz w:val="20"/>
                <w:szCs w:val="20"/>
              </w:rPr>
            </w:pPr>
          </w:p>
        </w:tc>
        <w:tc>
          <w:tcPr>
            <w:tcW w:w="663" w:type="dxa"/>
            <w:shd w:val="clear" w:color="auto" w:fill="auto"/>
            <w:noWrap/>
            <w:vAlign w:val="bottom"/>
            <w:hideMark/>
          </w:tcPr>
          <w:p w14:paraId="78266C2B" w14:textId="77777777" w:rsidR="00BD4D02" w:rsidRPr="00BD4D02" w:rsidRDefault="00BD4D02" w:rsidP="00BD4D02">
            <w:pPr>
              <w:rPr>
                <w:sz w:val="20"/>
                <w:szCs w:val="20"/>
              </w:rPr>
            </w:pPr>
          </w:p>
        </w:tc>
        <w:tc>
          <w:tcPr>
            <w:tcW w:w="663" w:type="dxa"/>
            <w:shd w:val="clear" w:color="auto" w:fill="auto"/>
            <w:noWrap/>
            <w:vAlign w:val="bottom"/>
            <w:hideMark/>
          </w:tcPr>
          <w:p w14:paraId="7510A055" w14:textId="77777777" w:rsidR="00BD4D02" w:rsidRPr="00BD4D02" w:rsidRDefault="00BD4D02" w:rsidP="00BD4D02">
            <w:pPr>
              <w:rPr>
                <w:sz w:val="20"/>
                <w:szCs w:val="20"/>
              </w:rPr>
            </w:pPr>
          </w:p>
        </w:tc>
        <w:tc>
          <w:tcPr>
            <w:tcW w:w="663" w:type="dxa"/>
            <w:shd w:val="clear" w:color="auto" w:fill="auto"/>
            <w:noWrap/>
            <w:vAlign w:val="bottom"/>
            <w:hideMark/>
          </w:tcPr>
          <w:p w14:paraId="19E3E0AE" w14:textId="77777777" w:rsidR="00BD4D02" w:rsidRPr="00BD4D02" w:rsidRDefault="00BD4D02" w:rsidP="00BD4D02">
            <w:pPr>
              <w:rPr>
                <w:sz w:val="20"/>
                <w:szCs w:val="20"/>
              </w:rPr>
            </w:pPr>
          </w:p>
        </w:tc>
        <w:tc>
          <w:tcPr>
            <w:tcW w:w="663" w:type="dxa"/>
            <w:shd w:val="clear" w:color="auto" w:fill="auto"/>
            <w:noWrap/>
            <w:vAlign w:val="bottom"/>
            <w:hideMark/>
          </w:tcPr>
          <w:p w14:paraId="562F3A2B"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6CD75DFB"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1D3D68A3"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57E3F1D5"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5EC1503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392E6382"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1180" w:type="dxa"/>
            <w:shd w:val="clear" w:color="auto" w:fill="auto"/>
            <w:noWrap/>
            <w:vAlign w:val="bottom"/>
            <w:hideMark/>
          </w:tcPr>
          <w:p w14:paraId="43AC47CB"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11</w:t>
            </w:r>
          </w:p>
        </w:tc>
      </w:tr>
      <w:tr w:rsidR="00BD4D02" w:rsidRPr="00BD4D02" w14:paraId="742A5421" w14:textId="77777777" w:rsidTr="00050580">
        <w:trPr>
          <w:trHeight w:val="144"/>
        </w:trPr>
        <w:tc>
          <w:tcPr>
            <w:tcW w:w="4500" w:type="dxa"/>
            <w:shd w:val="clear" w:color="auto" w:fill="auto"/>
            <w:noWrap/>
            <w:vAlign w:val="bottom"/>
            <w:hideMark/>
          </w:tcPr>
          <w:p w14:paraId="34463F74" w14:textId="77777777" w:rsidR="00BD4D02" w:rsidRPr="00BD4D02" w:rsidRDefault="00BD4D02" w:rsidP="00BD4D02">
            <w:pPr>
              <w:ind w:firstLineChars="100" w:firstLine="201"/>
              <w:rPr>
                <w:rFonts w:ascii="Calibri" w:hAnsi="Calibri" w:cs="Calibri"/>
                <w:b/>
                <w:bCs/>
                <w:color w:val="000000"/>
                <w:sz w:val="20"/>
                <w:szCs w:val="20"/>
              </w:rPr>
            </w:pPr>
            <w:r w:rsidRPr="00BD4D02">
              <w:rPr>
                <w:rFonts w:ascii="Calibri" w:hAnsi="Calibri" w:cs="Calibri"/>
                <w:b/>
                <w:bCs/>
                <w:color w:val="000000"/>
                <w:sz w:val="20"/>
                <w:szCs w:val="20"/>
              </w:rPr>
              <w:t>Financial performance</w:t>
            </w:r>
          </w:p>
        </w:tc>
        <w:tc>
          <w:tcPr>
            <w:tcW w:w="770" w:type="dxa"/>
            <w:shd w:val="clear" w:color="auto" w:fill="auto"/>
            <w:noWrap/>
            <w:vAlign w:val="bottom"/>
            <w:hideMark/>
          </w:tcPr>
          <w:p w14:paraId="05FD2461"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39</w:t>
            </w:r>
          </w:p>
        </w:tc>
        <w:tc>
          <w:tcPr>
            <w:tcW w:w="663" w:type="dxa"/>
            <w:shd w:val="clear" w:color="auto" w:fill="auto"/>
            <w:noWrap/>
            <w:vAlign w:val="bottom"/>
            <w:hideMark/>
          </w:tcPr>
          <w:p w14:paraId="5B694B8B"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42</w:t>
            </w:r>
          </w:p>
        </w:tc>
        <w:tc>
          <w:tcPr>
            <w:tcW w:w="663" w:type="dxa"/>
            <w:shd w:val="clear" w:color="auto" w:fill="auto"/>
            <w:noWrap/>
            <w:vAlign w:val="bottom"/>
            <w:hideMark/>
          </w:tcPr>
          <w:p w14:paraId="7183F713"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42</w:t>
            </w:r>
          </w:p>
        </w:tc>
        <w:tc>
          <w:tcPr>
            <w:tcW w:w="663" w:type="dxa"/>
            <w:shd w:val="clear" w:color="auto" w:fill="auto"/>
            <w:noWrap/>
            <w:vAlign w:val="bottom"/>
            <w:hideMark/>
          </w:tcPr>
          <w:p w14:paraId="6EAA7D19"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47</w:t>
            </w:r>
          </w:p>
        </w:tc>
        <w:tc>
          <w:tcPr>
            <w:tcW w:w="663" w:type="dxa"/>
            <w:shd w:val="clear" w:color="auto" w:fill="auto"/>
            <w:noWrap/>
            <w:vAlign w:val="bottom"/>
            <w:hideMark/>
          </w:tcPr>
          <w:p w14:paraId="1D8E2930"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47</w:t>
            </w:r>
          </w:p>
        </w:tc>
        <w:tc>
          <w:tcPr>
            <w:tcW w:w="663" w:type="dxa"/>
            <w:shd w:val="clear" w:color="auto" w:fill="auto"/>
            <w:noWrap/>
            <w:vAlign w:val="bottom"/>
            <w:hideMark/>
          </w:tcPr>
          <w:p w14:paraId="71CEC8B6"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45</w:t>
            </w:r>
          </w:p>
        </w:tc>
        <w:tc>
          <w:tcPr>
            <w:tcW w:w="663" w:type="dxa"/>
            <w:shd w:val="clear" w:color="auto" w:fill="auto"/>
            <w:noWrap/>
            <w:vAlign w:val="bottom"/>
            <w:hideMark/>
          </w:tcPr>
          <w:p w14:paraId="24F6E9C0"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52</w:t>
            </w:r>
          </w:p>
        </w:tc>
        <w:tc>
          <w:tcPr>
            <w:tcW w:w="663" w:type="dxa"/>
            <w:shd w:val="clear" w:color="auto" w:fill="auto"/>
            <w:noWrap/>
            <w:vAlign w:val="bottom"/>
            <w:hideMark/>
          </w:tcPr>
          <w:p w14:paraId="2F723980"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48</w:t>
            </w:r>
          </w:p>
        </w:tc>
        <w:tc>
          <w:tcPr>
            <w:tcW w:w="663" w:type="dxa"/>
            <w:shd w:val="clear" w:color="auto" w:fill="auto"/>
            <w:noWrap/>
            <w:vAlign w:val="bottom"/>
            <w:hideMark/>
          </w:tcPr>
          <w:p w14:paraId="4C14B9AB"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51</w:t>
            </w:r>
          </w:p>
        </w:tc>
        <w:tc>
          <w:tcPr>
            <w:tcW w:w="663" w:type="dxa"/>
            <w:shd w:val="clear" w:color="auto" w:fill="auto"/>
            <w:noWrap/>
            <w:vAlign w:val="bottom"/>
            <w:hideMark/>
          </w:tcPr>
          <w:p w14:paraId="5223AA9D"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55</w:t>
            </w:r>
          </w:p>
        </w:tc>
        <w:tc>
          <w:tcPr>
            <w:tcW w:w="663" w:type="dxa"/>
            <w:shd w:val="clear" w:color="auto" w:fill="auto"/>
            <w:noWrap/>
            <w:vAlign w:val="bottom"/>
            <w:hideMark/>
          </w:tcPr>
          <w:p w14:paraId="3D552C8A"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25</w:t>
            </w:r>
          </w:p>
        </w:tc>
        <w:tc>
          <w:tcPr>
            <w:tcW w:w="663" w:type="dxa"/>
            <w:shd w:val="clear" w:color="auto" w:fill="auto"/>
            <w:noWrap/>
            <w:vAlign w:val="bottom"/>
            <w:hideMark/>
          </w:tcPr>
          <w:p w14:paraId="079A8C5E"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32</w:t>
            </w:r>
          </w:p>
        </w:tc>
        <w:tc>
          <w:tcPr>
            <w:tcW w:w="1180" w:type="dxa"/>
            <w:shd w:val="clear" w:color="auto" w:fill="auto"/>
            <w:noWrap/>
            <w:vAlign w:val="bottom"/>
            <w:hideMark/>
          </w:tcPr>
          <w:p w14:paraId="4F07AAA5"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525</w:t>
            </w:r>
          </w:p>
        </w:tc>
      </w:tr>
      <w:tr w:rsidR="00BD4D02" w:rsidRPr="00BD4D02" w14:paraId="642AC0B0" w14:textId="77777777" w:rsidTr="00050580">
        <w:trPr>
          <w:trHeight w:val="144"/>
        </w:trPr>
        <w:tc>
          <w:tcPr>
            <w:tcW w:w="4500" w:type="dxa"/>
            <w:shd w:val="clear" w:color="auto" w:fill="auto"/>
            <w:noWrap/>
            <w:vAlign w:val="bottom"/>
            <w:hideMark/>
          </w:tcPr>
          <w:p w14:paraId="16EA6E2D"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BDU - affiliation payments</w:t>
            </w:r>
          </w:p>
        </w:tc>
        <w:tc>
          <w:tcPr>
            <w:tcW w:w="770" w:type="dxa"/>
            <w:shd w:val="clear" w:color="auto" w:fill="auto"/>
            <w:noWrap/>
            <w:vAlign w:val="bottom"/>
            <w:hideMark/>
          </w:tcPr>
          <w:p w14:paraId="3A917550"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794E440B"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4A954CDC"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5CB27F4B"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46CA4540"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58CF7C65"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2AE407DC"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090E3C3F"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0229EEA5"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1DB4D46F"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3D466B69"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519377C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1180" w:type="dxa"/>
            <w:shd w:val="clear" w:color="auto" w:fill="auto"/>
            <w:noWrap/>
            <w:vAlign w:val="bottom"/>
            <w:hideMark/>
          </w:tcPr>
          <w:p w14:paraId="21661470"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16</w:t>
            </w:r>
          </w:p>
        </w:tc>
      </w:tr>
      <w:tr w:rsidR="00BD4D02" w:rsidRPr="00BD4D02" w14:paraId="3397F79D" w14:textId="77777777" w:rsidTr="00050580">
        <w:trPr>
          <w:trHeight w:val="144"/>
        </w:trPr>
        <w:tc>
          <w:tcPr>
            <w:tcW w:w="4500" w:type="dxa"/>
            <w:shd w:val="clear" w:color="auto" w:fill="auto"/>
            <w:noWrap/>
            <w:vAlign w:val="bottom"/>
            <w:hideMark/>
          </w:tcPr>
          <w:p w14:paraId="572EFC06"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EBITDA</w:t>
            </w:r>
          </w:p>
        </w:tc>
        <w:tc>
          <w:tcPr>
            <w:tcW w:w="770" w:type="dxa"/>
            <w:shd w:val="clear" w:color="auto" w:fill="auto"/>
            <w:noWrap/>
            <w:vAlign w:val="bottom"/>
            <w:hideMark/>
          </w:tcPr>
          <w:p w14:paraId="40875516"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22D7FDD8"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5331FA92"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3F66883C"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5B852D6D"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1F2CA15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0E35576D"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2F67B083"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37EB691B"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5D2C10A4"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7E8749A1"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27208E77" w14:textId="77777777" w:rsidR="00BD4D02" w:rsidRPr="00BD4D02" w:rsidRDefault="00BD4D02" w:rsidP="00BD4D02">
            <w:pPr>
              <w:rPr>
                <w:sz w:val="20"/>
                <w:szCs w:val="20"/>
              </w:rPr>
            </w:pPr>
          </w:p>
        </w:tc>
        <w:tc>
          <w:tcPr>
            <w:tcW w:w="1180" w:type="dxa"/>
            <w:shd w:val="clear" w:color="auto" w:fill="auto"/>
            <w:noWrap/>
            <w:vAlign w:val="bottom"/>
            <w:hideMark/>
          </w:tcPr>
          <w:p w14:paraId="27063124"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14</w:t>
            </w:r>
          </w:p>
        </w:tc>
      </w:tr>
      <w:tr w:rsidR="00BD4D02" w:rsidRPr="00BD4D02" w14:paraId="0AFD7370" w14:textId="77777777" w:rsidTr="00050580">
        <w:trPr>
          <w:trHeight w:val="144"/>
        </w:trPr>
        <w:tc>
          <w:tcPr>
            <w:tcW w:w="4500" w:type="dxa"/>
            <w:shd w:val="clear" w:color="auto" w:fill="auto"/>
            <w:noWrap/>
            <w:vAlign w:val="bottom"/>
            <w:hideMark/>
          </w:tcPr>
          <w:p w14:paraId="68030B17"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lastRenderedPageBreak/>
              <w:t>PBIT</w:t>
            </w:r>
          </w:p>
        </w:tc>
        <w:tc>
          <w:tcPr>
            <w:tcW w:w="770" w:type="dxa"/>
            <w:shd w:val="clear" w:color="auto" w:fill="auto"/>
            <w:noWrap/>
            <w:vAlign w:val="bottom"/>
            <w:hideMark/>
          </w:tcPr>
          <w:p w14:paraId="57CD4F04"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9</w:t>
            </w:r>
          </w:p>
        </w:tc>
        <w:tc>
          <w:tcPr>
            <w:tcW w:w="663" w:type="dxa"/>
            <w:shd w:val="clear" w:color="auto" w:fill="auto"/>
            <w:noWrap/>
            <w:vAlign w:val="bottom"/>
            <w:hideMark/>
          </w:tcPr>
          <w:p w14:paraId="7A5D283D"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9</w:t>
            </w:r>
          </w:p>
        </w:tc>
        <w:tc>
          <w:tcPr>
            <w:tcW w:w="663" w:type="dxa"/>
            <w:shd w:val="clear" w:color="auto" w:fill="auto"/>
            <w:noWrap/>
            <w:vAlign w:val="bottom"/>
            <w:hideMark/>
          </w:tcPr>
          <w:p w14:paraId="62DD998E"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9</w:t>
            </w:r>
          </w:p>
        </w:tc>
        <w:tc>
          <w:tcPr>
            <w:tcW w:w="663" w:type="dxa"/>
            <w:shd w:val="clear" w:color="auto" w:fill="auto"/>
            <w:noWrap/>
            <w:vAlign w:val="bottom"/>
            <w:hideMark/>
          </w:tcPr>
          <w:p w14:paraId="6A58BDEA"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9</w:t>
            </w:r>
          </w:p>
        </w:tc>
        <w:tc>
          <w:tcPr>
            <w:tcW w:w="663" w:type="dxa"/>
            <w:shd w:val="clear" w:color="auto" w:fill="auto"/>
            <w:noWrap/>
            <w:vAlign w:val="bottom"/>
            <w:hideMark/>
          </w:tcPr>
          <w:p w14:paraId="697AB856"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8</w:t>
            </w:r>
          </w:p>
        </w:tc>
        <w:tc>
          <w:tcPr>
            <w:tcW w:w="663" w:type="dxa"/>
            <w:shd w:val="clear" w:color="auto" w:fill="auto"/>
            <w:noWrap/>
            <w:vAlign w:val="bottom"/>
            <w:hideMark/>
          </w:tcPr>
          <w:p w14:paraId="23FE9E86"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8</w:t>
            </w:r>
          </w:p>
        </w:tc>
        <w:tc>
          <w:tcPr>
            <w:tcW w:w="663" w:type="dxa"/>
            <w:shd w:val="clear" w:color="auto" w:fill="auto"/>
            <w:noWrap/>
            <w:vAlign w:val="bottom"/>
            <w:hideMark/>
          </w:tcPr>
          <w:p w14:paraId="7A14480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8</w:t>
            </w:r>
          </w:p>
        </w:tc>
        <w:tc>
          <w:tcPr>
            <w:tcW w:w="663" w:type="dxa"/>
            <w:shd w:val="clear" w:color="auto" w:fill="auto"/>
            <w:noWrap/>
            <w:vAlign w:val="bottom"/>
            <w:hideMark/>
          </w:tcPr>
          <w:p w14:paraId="771B3995"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8</w:t>
            </w:r>
          </w:p>
        </w:tc>
        <w:tc>
          <w:tcPr>
            <w:tcW w:w="663" w:type="dxa"/>
            <w:shd w:val="clear" w:color="auto" w:fill="auto"/>
            <w:noWrap/>
            <w:vAlign w:val="bottom"/>
            <w:hideMark/>
          </w:tcPr>
          <w:p w14:paraId="6A7D06A2"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8</w:t>
            </w:r>
          </w:p>
        </w:tc>
        <w:tc>
          <w:tcPr>
            <w:tcW w:w="663" w:type="dxa"/>
            <w:shd w:val="clear" w:color="auto" w:fill="auto"/>
            <w:noWrap/>
            <w:vAlign w:val="bottom"/>
            <w:hideMark/>
          </w:tcPr>
          <w:p w14:paraId="59745848"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8</w:t>
            </w:r>
          </w:p>
        </w:tc>
        <w:tc>
          <w:tcPr>
            <w:tcW w:w="663" w:type="dxa"/>
            <w:shd w:val="clear" w:color="auto" w:fill="auto"/>
            <w:noWrap/>
            <w:vAlign w:val="bottom"/>
            <w:hideMark/>
          </w:tcPr>
          <w:p w14:paraId="5F6B9D6B"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3E82F4DA" w14:textId="77777777" w:rsidR="00BD4D02" w:rsidRPr="00BD4D02" w:rsidRDefault="00BD4D02" w:rsidP="00BD4D02">
            <w:pPr>
              <w:rPr>
                <w:sz w:val="20"/>
                <w:szCs w:val="20"/>
              </w:rPr>
            </w:pPr>
          </w:p>
        </w:tc>
        <w:tc>
          <w:tcPr>
            <w:tcW w:w="1180" w:type="dxa"/>
            <w:shd w:val="clear" w:color="auto" w:fill="auto"/>
            <w:noWrap/>
            <w:vAlign w:val="bottom"/>
            <w:hideMark/>
          </w:tcPr>
          <w:p w14:paraId="40F82703"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84</w:t>
            </w:r>
          </w:p>
        </w:tc>
      </w:tr>
      <w:tr w:rsidR="00BD4D02" w:rsidRPr="00BD4D02" w14:paraId="11EF3DDE" w14:textId="77777777" w:rsidTr="00050580">
        <w:trPr>
          <w:trHeight w:val="144"/>
        </w:trPr>
        <w:tc>
          <w:tcPr>
            <w:tcW w:w="4500" w:type="dxa"/>
            <w:shd w:val="clear" w:color="auto" w:fill="auto"/>
            <w:noWrap/>
            <w:vAlign w:val="bottom"/>
            <w:hideMark/>
          </w:tcPr>
          <w:p w14:paraId="38423EE5"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Radio - non-commercial</w:t>
            </w:r>
          </w:p>
        </w:tc>
        <w:tc>
          <w:tcPr>
            <w:tcW w:w="770" w:type="dxa"/>
            <w:shd w:val="clear" w:color="auto" w:fill="auto"/>
            <w:noWrap/>
            <w:vAlign w:val="bottom"/>
            <w:hideMark/>
          </w:tcPr>
          <w:p w14:paraId="60739B4D"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4E19B715" w14:textId="77777777" w:rsidR="00BD4D02" w:rsidRPr="00BD4D02" w:rsidRDefault="00BD4D02" w:rsidP="00BD4D02">
            <w:pPr>
              <w:rPr>
                <w:sz w:val="20"/>
                <w:szCs w:val="20"/>
              </w:rPr>
            </w:pPr>
          </w:p>
        </w:tc>
        <w:tc>
          <w:tcPr>
            <w:tcW w:w="663" w:type="dxa"/>
            <w:shd w:val="clear" w:color="auto" w:fill="auto"/>
            <w:noWrap/>
            <w:vAlign w:val="bottom"/>
            <w:hideMark/>
          </w:tcPr>
          <w:p w14:paraId="4B917FDD" w14:textId="77777777" w:rsidR="00BD4D02" w:rsidRPr="00BD4D02" w:rsidRDefault="00BD4D02" w:rsidP="00BD4D02">
            <w:pPr>
              <w:rPr>
                <w:sz w:val="20"/>
                <w:szCs w:val="20"/>
              </w:rPr>
            </w:pPr>
          </w:p>
        </w:tc>
        <w:tc>
          <w:tcPr>
            <w:tcW w:w="663" w:type="dxa"/>
            <w:shd w:val="clear" w:color="auto" w:fill="auto"/>
            <w:noWrap/>
            <w:vAlign w:val="bottom"/>
            <w:hideMark/>
          </w:tcPr>
          <w:p w14:paraId="27E315F5" w14:textId="77777777" w:rsidR="00BD4D02" w:rsidRPr="00BD4D02" w:rsidRDefault="00BD4D02" w:rsidP="00BD4D02">
            <w:pPr>
              <w:rPr>
                <w:sz w:val="20"/>
                <w:szCs w:val="20"/>
              </w:rPr>
            </w:pPr>
          </w:p>
        </w:tc>
        <w:tc>
          <w:tcPr>
            <w:tcW w:w="663" w:type="dxa"/>
            <w:shd w:val="clear" w:color="auto" w:fill="auto"/>
            <w:noWrap/>
            <w:vAlign w:val="bottom"/>
            <w:hideMark/>
          </w:tcPr>
          <w:p w14:paraId="4DCE1538" w14:textId="77777777" w:rsidR="00BD4D02" w:rsidRPr="00BD4D02" w:rsidRDefault="00BD4D02" w:rsidP="00BD4D02">
            <w:pPr>
              <w:rPr>
                <w:sz w:val="20"/>
                <w:szCs w:val="20"/>
              </w:rPr>
            </w:pPr>
          </w:p>
        </w:tc>
        <w:tc>
          <w:tcPr>
            <w:tcW w:w="663" w:type="dxa"/>
            <w:shd w:val="clear" w:color="auto" w:fill="auto"/>
            <w:noWrap/>
            <w:vAlign w:val="bottom"/>
            <w:hideMark/>
          </w:tcPr>
          <w:p w14:paraId="7610EE8A" w14:textId="77777777" w:rsidR="00BD4D02" w:rsidRPr="00BD4D02" w:rsidRDefault="00BD4D02" w:rsidP="00BD4D02">
            <w:pPr>
              <w:rPr>
                <w:sz w:val="20"/>
                <w:szCs w:val="20"/>
              </w:rPr>
            </w:pPr>
          </w:p>
        </w:tc>
        <w:tc>
          <w:tcPr>
            <w:tcW w:w="663" w:type="dxa"/>
            <w:shd w:val="clear" w:color="auto" w:fill="auto"/>
            <w:noWrap/>
            <w:vAlign w:val="bottom"/>
            <w:hideMark/>
          </w:tcPr>
          <w:p w14:paraId="029C253D" w14:textId="77777777" w:rsidR="00BD4D02" w:rsidRPr="00BD4D02" w:rsidRDefault="00BD4D02" w:rsidP="00BD4D02">
            <w:pPr>
              <w:rPr>
                <w:sz w:val="20"/>
                <w:szCs w:val="20"/>
              </w:rPr>
            </w:pPr>
          </w:p>
        </w:tc>
        <w:tc>
          <w:tcPr>
            <w:tcW w:w="663" w:type="dxa"/>
            <w:shd w:val="clear" w:color="auto" w:fill="auto"/>
            <w:noWrap/>
            <w:vAlign w:val="bottom"/>
            <w:hideMark/>
          </w:tcPr>
          <w:p w14:paraId="3B4D4770" w14:textId="77777777" w:rsidR="00BD4D02" w:rsidRPr="00BD4D02" w:rsidRDefault="00BD4D02" w:rsidP="00BD4D02">
            <w:pPr>
              <w:rPr>
                <w:sz w:val="20"/>
                <w:szCs w:val="20"/>
              </w:rPr>
            </w:pPr>
          </w:p>
        </w:tc>
        <w:tc>
          <w:tcPr>
            <w:tcW w:w="663" w:type="dxa"/>
            <w:shd w:val="clear" w:color="auto" w:fill="auto"/>
            <w:noWrap/>
            <w:vAlign w:val="bottom"/>
            <w:hideMark/>
          </w:tcPr>
          <w:p w14:paraId="1EBA68F6"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7059649B"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307573D6"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24E9B761" w14:textId="77777777" w:rsidR="00BD4D02" w:rsidRPr="00BD4D02" w:rsidRDefault="00BD4D02" w:rsidP="00BD4D02">
            <w:pPr>
              <w:rPr>
                <w:sz w:val="20"/>
                <w:szCs w:val="20"/>
              </w:rPr>
            </w:pPr>
          </w:p>
        </w:tc>
        <w:tc>
          <w:tcPr>
            <w:tcW w:w="1180" w:type="dxa"/>
            <w:shd w:val="clear" w:color="auto" w:fill="auto"/>
            <w:noWrap/>
            <w:vAlign w:val="bottom"/>
            <w:hideMark/>
          </w:tcPr>
          <w:p w14:paraId="352CC786"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r>
      <w:tr w:rsidR="00BD4D02" w:rsidRPr="00BD4D02" w14:paraId="30B4AE2E" w14:textId="77777777" w:rsidTr="00050580">
        <w:trPr>
          <w:trHeight w:val="144"/>
        </w:trPr>
        <w:tc>
          <w:tcPr>
            <w:tcW w:w="4500" w:type="dxa"/>
            <w:shd w:val="clear" w:color="auto" w:fill="auto"/>
            <w:noWrap/>
            <w:vAlign w:val="bottom"/>
            <w:hideMark/>
          </w:tcPr>
          <w:p w14:paraId="22252D7D"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Revenue</w:t>
            </w:r>
          </w:p>
        </w:tc>
        <w:tc>
          <w:tcPr>
            <w:tcW w:w="770" w:type="dxa"/>
            <w:shd w:val="clear" w:color="auto" w:fill="auto"/>
            <w:noWrap/>
            <w:vAlign w:val="bottom"/>
            <w:hideMark/>
          </w:tcPr>
          <w:p w14:paraId="074EE4F6"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28</w:t>
            </w:r>
          </w:p>
        </w:tc>
        <w:tc>
          <w:tcPr>
            <w:tcW w:w="663" w:type="dxa"/>
            <w:shd w:val="clear" w:color="auto" w:fill="auto"/>
            <w:noWrap/>
            <w:vAlign w:val="bottom"/>
            <w:hideMark/>
          </w:tcPr>
          <w:p w14:paraId="78B26EF5"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31</w:t>
            </w:r>
          </w:p>
        </w:tc>
        <w:tc>
          <w:tcPr>
            <w:tcW w:w="663" w:type="dxa"/>
            <w:shd w:val="clear" w:color="auto" w:fill="auto"/>
            <w:noWrap/>
            <w:vAlign w:val="bottom"/>
            <w:hideMark/>
          </w:tcPr>
          <w:p w14:paraId="705792AE"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31</w:t>
            </w:r>
          </w:p>
        </w:tc>
        <w:tc>
          <w:tcPr>
            <w:tcW w:w="663" w:type="dxa"/>
            <w:shd w:val="clear" w:color="auto" w:fill="auto"/>
            <w:noWrap/>
            <w:vAlign w:val="bottom"/>
            <w:hideMark/>
          </w:tcPr>
          <w:p w14:paraId="6AA309C8"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36</w:t>
            </w:r>
          </w:p>
        </w:tc>
        <w:tc>
          <w:tcPr>
            <w:tcW w:w="663" w:type="dxa"/>
            <w:shd w:val="clear" w:color="auto" w:fill="auto"/>
            <w:noWrap/>
            <w:vAlign w:val="bottom"/>
            <w:hideMark/>
          </w:tcPr>
          <w:p w14:paraId="0BBB1F24"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37</w:t>
            </w:r>
          </w:p>
        </w:tc>
        <w:tc>
          <w:tcPr>
            <w:tcW w:w="663" w:type="dxa"/>
            <w:shd w:val="clear" w:color="auto" w:fill="auto"/>
            <w:noWrap/>
            <w:vAlign w:val="bottom"/>
            <w:hideMark/>
          </w:tcPr>
          <w:p w14:paraId="24A6679F"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35</w:t>
            </w:r>
          </w:p>
        </w:tc>
        <w:tc>
          <w:tcPr>
            <w:tcW w:w="663" w:type="dxa"/>
            <w:shd w:val="clear" w:color="auto" w:fill="auto"/>
            <w:noWrap/>
            <w:vAlign w:val="bottom"/>
            <w:hideMark/>
          </w:tcPr>
          <w:p w14:paraId="1EE1F370"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41</w:t>
            </w:r>
          </w:p>
        </w:tc>
        <w:tc>
          <w:tcPr>
            <w:tcW w:w="663" w:type="dxa"/>
            <w:shd w:val="clear" w:color="auto" w:fill="auto"/>
            <w:noWrap/>
            <w:vAlign w:val="bottom"/>
            <w:hideMark/>
          </w:tcPr>
          <w:p w14:paraId="5D44DDC3"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37</w:t>
            </w:r>
          </w:p>
        </w:tc>
        <w:tc>
          <w:tcPr>
            <w:tcW w:w="663" w:type="dxa"/>
            <w:shd w:val="clear" w:color="auto" w:fill="auto"/>
            <w:noWrap/>
            <w:vAlign w:val="bottom"/>
            <w:hideMark/>
          </w:tcPr>
          <w:p w14:paraId="35FC6605"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38</w:t>
            </w:r>
          </w:p>
        </w:tc>
        <w:tc>
          <w:tcPr>
            <w:tcW w:w="663" w:type="dxa"/>
            <w:shd w:val="clear" w:color="auto" w:fill="auto"/>
            <w:noWrap/>
            <w:vAlign w:val="bottom"/>
            <w:hideMark/>
          </w:tcPr>
          <w:p w14:paraId="2EE2A20A"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42</w:t>
            </w:r>
          </w:p>
        </w:tc>
        <w:tc>
          <w:tcPr>
            <w:tcW w:w="663" w:type="dxa"/>
            <w:shd w:val="clear" w:color="auto" w:fill="auto"/>
            <w:noWrap/>
            <w:vAlign w:val="bottom"/>
            <w:hideMark/>
          </w:tcPr>
          <w:p w14:paraId="476F1367"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23</w:t>
            </w:r>
          </w:p>
        </w:tc>
        <w:tc>
          <w:tcPr>
            <w:tcW w:w="663" w:type="dxa"/>
            <w:shd w:val="clear" w:color="auto" w:fill="auto"/>
            <w:noWrap/>
            <w:vAlign w:val="bottom"/>
            <w:hideMark/>
          </w:tcPr>
          <w:p w14:paraId="0B4831FC"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30</w:t>
            </w:r>
          </w:p>
        </w:tc>
        <w:tc>
          <w:tcPr>
            <w:tcW w:w="1180" w:type="dxa"/>
            <w:shd w:val="clear" w:color="auto" w:fill="auto"/>
            <w:noWrap/>
            <w:vAlign w:val="bottom"/>
            <w:hideMark/>
          </w:tcPr>
          <w:p w14:paraId="6BB242AC"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409</w:t>
            </w:r>
          </w:p>
        </w:tc>
      </w:tr>
      <w:tr w:rsidR="00BD4D02" w:rsidRPr="00BD4D02" w14:paraId="0421EE8A" w14:textId="77777777" w:rsidTr="00050580">
        <w:trPr>
          <w:trHeight w:val="144"/>
        </w:trPr>
        <w:tc>
          <w:tcPr>
            <w:tcW w:w="4500" w:type="dxa"/>
            <w:shd w:val="clear" w:color="auto" w:fill="auto"/>
            <w:noWrap/>
            <w:vAlign w:val="bottom"/>
            <w:hideMark/>
          </w:tcPr>
          <w:p w14:paraId="1E8AF18E" w14:textId="77777777" w:rsidR="00BD4D02" w:rsidRPr="00BD4D02" w:rsidRDefault="00BD4D02" w:rsidP="00BD4D02">
            <w:pPr>
              <w:ind w:firstLineChars="100" w:firstLine="201"/>
              <w:rPr>
                <w:rFonts w:ascii="Calibri" w:hAnsi="Calibri" w:cs="Calibri"/>
                <w:b/>
                <w:bCs/>
                <w:color w:val="000000"/>
                <w:sz w:val="20"/>
                <w:szCs w:val="20"/>
              </w:rPr>
            </w:pPr>
            <w:r w:rsidRPr="00BD4D02">
              <w:rPr>
                <w:rFonts w:ascii="Calibri" w:hAnsi="Calibri" w:cs="Calibri"/>
                <w:b/>
                <w:bCs/>
                <w:color w:val="000000"/>
                <w:sz w:val="20"/>
                <w:szCs w:val="20"/>
              </w:rPr>
              <w:t>Dissatisfaction</w:t>
            </w:r>
          </w:p>
        </w:tc>
        <w:tc>
          <w:tcPr>
            <w:tcW w:w="770" w:type="dxa"/>
            <w:shd w:val="clear" w:color="auto" w:fill="auto"/>
            <w:noWrap/>
            <w:vAlign w:val="bottom"/>
            <w:hideMark/>
          </w:tcPr>
          <w:p w14:paraId="53619C11"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6</w:t>
            </w:r>
          </w:p>
        </w:tc>
        <w:tc>
          <w:tcPr>
            <w:tcW w:w="663" w:type="dxa"/>
            <w:shd w:val="clear" w:color="auto" w:fill="auto"/>
            <w:noWrap/>
            <w:vAlign w:val="bottom"/>
            <w:hideMark/>
          </w:tcPr>
          <w:p w14:paraId="62AD1CF4"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8</w:t>
            </w:r>
          </w:p>
        </w:tc>
        <w:tc>
          <w:tcPr>
            <w:tcW w:w="663" w:type="dxa"/>
            <w:shd w:val="clear" w:color="auto" w:fill="auto"/>
            <w:noWrap/>
            <w:vAlign w:val="bottom"/>
            <w:hideMark/>
          </w:tcPr>
          <w:p w14:paraId="263CA23F"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4</w:t>
            </w:r>
          </w:p>
        </w:tc>
        <w:tc>
          <w:tcPr>
            <w:tcW w:w="663" w:type="dxa"/>
            <w:shd w:val="clear" w:color="auto" w:fill="auto"/>
            <w:noWrap/>
            <w:vAlign w:val="bottom"/>
            <w:hideMark/>
          </w:tcPr>
          <w:p w14:paraId="7F290A0C"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6</w:t>
            </w:r>
          </w:p>
        </w:tc>
        <w:tc>
          <w:tcPr>
            <w:tcW w:w="663" w:type="dxa"/>
            <w:shd w:val="clear" w:color="auto" w:fill="auto"/>
            <w:noWrap/>
            <w:vAlign w:val="bottom"/>
            <w:hideMark/>
          </w:tcPr>
          <w:p w14:paraId="64737348"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6</w:t>
            </w:r>
          </w:p>
        </w:tc>
        <w:tc>
          <w:tcPr>
            <w:tcW w:w="663" w:type="dxa"/>
            <w:shd w:val="clear" w:color="auto" w:fill="auto"/>
            <w:noWrap/>
            <w:vAlign w:val="bottom"/>
            <w:hideMark/>
          </w:tcPr>
          <w:p w14:paraId="3C1A73FD"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7</w:t>
            </w:r>
          </w:p>
        </w:tc>
        <w:tc>
          <w:tcPr>
            <w:tcW w:w="663" w:type="dxa"/>
            <w:shd w:val="clear" w:color="auto" w:fill="auto"/>
            <w:noWrap/>
            <w:vAlign w:val="bottom"/>
            <w:hideMark/>
          </w:tcPr>
          <w:p w14:paraId="5DE07ACA"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10</w:t>
            </w:r>
          </w:p>
        </w:tc>
        <w:tc>
          <w:tcPr>
            <w:tcW w:w="663" w:type="dxa"/>
            <w:shd w:val="clear" w:color="auto" w:fill="auto"/>
            <w:noWrap/>
            <w:vAlign w:val="bottom"/>
            <w:hideMark/>
          </w:tcPr>
          <w:p w14:paraId="07D374F9"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9</w:t>
            </w:r>
          </w:p>
        </w:tc>
        <w:tc>
          <w:tcPr>
            <w:tcW w:w="663" w:type="dxa"/>
            <w:shd w:val="clear" w:color="auto" w:fill="auto"/>
            <w:noWrap/>
            <w:vAlign w:val="bottom"/>
            <w:hideMark/>
          </w:tcPr>
          <w:p w14:paraId="563B22E9"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10</w:t>
            </w:r>
          </w:p>
        </w:tc>
        <w:tc>
          <w:tcPr>
            <w:tcW w:w="663" w:type="dxa"/>
            <w:shd w:val="clear" w:color="auto" w:fill="auto"/>
            <w:noWrap/>
            <w:vAlign w:val="bottom"/>
            <w:hideMark/>
          </w:tcPr>
          <w:p w14:paraId="35B73629"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10</w:t>
            </w:r>
          </w:p>
        </w:tc>
        <w:tc>
          <w:tcPr>
            <w:tcW w:w="663" w:type="dxa"/>
            <w:shd w:val="clear" w:color="auto" w:fill="auto"/>
            <w:noWrap/>
            <w:vAlign w:val="bottom"/>
            <w:hideMark/>
          </w:tcPr>
          <w:p w14:paraId="50A5A3DA"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11</w:t>
            </w:r>
          </w:p>
        </w:tc>
        <w:tc>
          <w:tcPr>
            <w:tcW w:w="663" w:type="dxa"/>
            <w:shd w:val="clear" w:color="auto" w:fill="auto"/>
            <w:noWrap/>
            <w:vAlign w:val="bottom"/>
            <w:hideMark/>
          </w:tcPr>
          <w:p w14:paraId="7D8BBDAE"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2</w:t>
            </w:r>
          </w:p>
        </w:tc>
        <w:tc>
          <w:tcPr>
            <w:tcW w:w="1180" w:type="dxa"/>
            <w:shd w:val="clear" w:color="auto" w:fill="auto"/>
            <w:noWrap/>
            <w:vAlign w:val="bottom"/>
            <w:hideMark/>
          </w:tcPr>
          <w:p w14:paraId="74F8B418"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89</w:t>
            </w:r>
          </w:p>
        </w:tc>
      </w:tr>
      <w:tr w:rsidR="00BD4D02" w:rsidRPr="00BD4D02" w14:paraId="4A40ADC0" w14:textId="77777777" w:rsidTr="00050580">
        <w:trPr>
          <w:trHeight w:val="144"/>
        </w:trPr>
        <w:tc>
          <w:tcPr>
            <w:tcW w:w="4500" w:type="dxa"/>
            <w:shd w:val="clear" w:color="auto" w:fill="auto"/>
            <w:noWrap/>
            <w:vAlign w:val="bottom"/>
            <w:hideMark/>
          </w:tcPr>
          <w:p w14:paraId="24C8D450"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Complaints</w:t>
            </w:r>
          </w:p>
        </w:tc>
        <w:tc>
          <w:tcPr>
            <w:tcW w:w="770" w:type="dxa"/>
            <w:shd w:val="clear" w:color="auto" w:fill="auto"/>
            <w:noWrap/>
            <w:vAlign w:val="bottom"/>
            <w:hideMark/>
          </w:tcPr>
          <w:p w14:paraId="4785D309"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73FDCF2B" w14:textId="77777777" w:rsidR="00BD4D02" w:rsidRPr="00BD4D02" w:rsidRDefault="00BD4D02" w:rsidP="00BD4D02">
            <w:pPr>
              <w:rPr>
                <w:sz w:val="20"/>
                <w:szCs w:val="20"/>
              </w:rPr>
            </w:pPr>
          </w:p>
        </w:tc>
        <w:tc>
          <w:tcPr>
            <w:tcW w:w="663" w:type="dxa"/>
            <w:shd w:val="clear" w:color="auto" w:fill="auto"/>
            <w:noWrap/>
            <w:vAlign w:val="bottom"/>
            <w:hideMark/>
          </w:tcPr>
          <w:p w14:paraId="6B0188B9" w14:textId="77777777" w:rsidR="00BD4D02" w:rsidRPr="00BD4D02" w:rsidRDefault="00BD4D02" w:rsidP="00BD4D02">
            <w:pPr>
              <w:rPr>
                <w:sz w:val="20"/>
                <w:szCs w:val="20"/>
              </w:rPr>
            </w:pPr>
          </w:p>
        </w:tc>
        <w:tc>
          <w:tcPr>
            <w:tcW w:w="663" w:type="dxa"/>
            <w:shd w:val="clear" w:color="auto" w:fill="auto"/>
            <w:noWrap/>
            <w:vAlign w:val="bottom"/>
            <w:hideMark/>
          </w:tcPr>
          <w:p w14:paraId="34E714D3" w14:textId="77777777" w:rsidR="00BD4D02" w:rsidRPr="00BD4D02" w:rsidRDefault="00BD4D02" w:rsidP="00BD4D02">
            <w:pPr>
              <w:rPr>
                <w:sz w:val="20"/>
                <w:szCs w:val="20"/>
              </w:rPr>
            </w:pPr>
          </w:p>
        </w:tc>
        <w:tc>
          <w:tcPr>
            <w:tcW w:w="663" w:type="dxa"/>
            <w:shd w:val="clear" w:color="auto" w:fill="auto"/>
            <w:noWrap/>
            <w:vAlign w:val="bottom"/>
            <w:hideMark/>
          </w:tcPr>
          <w:p w14:paraId="2016A09F" w14:textId="77777777" w:rsidR="00BD4D02" w:rsidRPr="00BD4D02" w:rsidRDefault="00BD4D02" w:rsidP="00BD4D02">
            <w:pPr>
              <w:rPr>
                <w:sz w:val="20"/>
                <w:szCs w:val="20"/>
              </w:rPr>
            </w:pPr>
          </w:p>
        </w:tc>
        <w:tc>
          <w:tcPr>
            <w:tcW w:w="663" w:type="dxa"/>
            <w:shd w:val="clear" w:color="auto" w:fill="auto"/>
            <w:noWrap/>
            <w:vAlign w:val="bottom"/>
            <w:hideMark/>
          </w:tcPr>
          <w:p w14:paraId="1F1CAF8F" w14:textId="77777777" w:rsidR="00BD4D02" w:rsidRPr="00BD4D02" w:rsidRDefault="00BD4D02" w:rsidP="00BD4D02">
            <w:pPr>
              <w:rPr>
                <w:sz w:val="20"/>
                <w:szCs w:val="20"/>
              </w:rPr>
            </w:pPr>
          </w:p>
        </w:tc>
        <w:tc>
          <w:tcPr>
            <w:tcW w:w="663" w:type="dxa"/>
            <w:shd w:val="clear" w:color="auto" w:fill="auto"/>
            <w:noWrap/>
            <w:vAlign w:val="bottom"/>
            <w:hideMark/>
          </w:tcPr>
          <w:p w14:paraId="2A87B27A" w14:textId="77777777" w:rsidR="00BD4D02" w:rsidRPr="00BD4D02" w:rsidRDefault="00BD4D02" w:rsidP="00BD4D02">
            <w:pPr>
              <w:rPr>
                <w:sz w:val="20"/>
                <w:szCs w:val="20"/>
              </w:rPr>
            </w:pPr>
          </w:p>
        </w:tc>
        <w:tc>
          <w:tcPr>
            <w:tcW w:w="663" w:type="dxa"/>
            <w:shd w:val="clear" w:color="auto" w:fill="auto"/>
            <w:noWrap/>
            <w:vAlign w:val="bottom"/>
            <w:hideMark/>
          </w:tcPr>
          <w:p w14:paraId="32D6CEA2"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75C1EE4C"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2BDFC475" w14:textId="77777777" w:rsidR="00BD4D02" w:rsidRPr="00BD4D02" w:rsidRDefault="00BD4D02" w:rsidP="00BD4D02">
            <w:pPr>
              <w:rPr>
                <w:sz w:val="20"/>
                <w:szCs w:val="20"/>
              </w:rPr>
            </w:pPr>
          </w:p>
        </w:tc>
        <w:tc>
          <w:tcPr>
            <w:tcW w:w="663" w:type="dxa"/>
            <w:shd w:val="clear" w:color="auto" w:fill="auto"/>
            <w:noWrap/>
            <w:vAlign w:val="bottom"/>
            <w:hideMark/>
          </w:tcPr>
          <w:p w14:paraId="4280973E" w14:textId="77777777" w:rsidR="00BD4D02" w:rsidRPr="00BD4D02" w:rsidRDefault="00BD4D02" w:rsidP="00BD4D02">
            <w:pPr>
              <w:rPr>
                <w:sz w:val="20"/>
                <w:szCs w:val="20"/>
              </w:rPr>
            </w:pPr>
          </w:p>
        </w:tc>
        <w:tc>
          <w:tcPr>
            <w:tcW w:w="663" w:type="dxa"/>
            <w:shd w:val="clear" w:color="auto" w:fill="auto"/>
            <w:noWrap/>
            <w:vAlign w:val="bottom"/>
            <w:hideMark/>
          </w:tcPr>
          <w:p w14:paraId="5A36FE16" w14:textId="77777777" w:rsidR="00BD4D02" w:rsidRPr="00BD4D02" w:rsidRDefault="00BD4D02" w:rsidP="00BD4D02">
            <w:pPr>
              <w:rPr>
                <w:sz w:val="20"/>
                <w:szCs w:val="20"/>
              </w:rPr>
            </w:pPr>
          </w:p>
        </w:tc>
        <w:tc>
          <w:tcPr>
            <w:tcW w:w="1180" w:type="dxa"/>
            <w:shd w:val="clear" w:color="auto" w:fill="auto"/>
            <w:noWrap/>
            <w:vAlign w:val="bottom"/>
            <w:hideMark/>
          </w:tcPr>
          <w:p w14:paraId="0ABE86A9"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43C6E862" w14:textId="77777777" w:rsidTr="00050580">
        <w:trPr>
          <w:trHeight w:val="144"/>
        </w:trPr>
        <w:tc>
          <w:tcPr>
            <w:tcW w:w="4500" w:type="dxa"/>
            <w:shd w:val="clear" w:color="auto" w:fill="auto"/>
            <w:noWrap/>
            <w:vAlign w:val="bottom"/>
            <w:hideMark/>
          </w:tcPr>
          <w:p w14:paraId="2E568CF9"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Complaints - loudness</w:t>
            </w:r>
          </w:p>
        </w:tc>
        <w:tc>
          <w:tcPr>
            <w:tcW w:w="770" w:type="dxa"/>
            <w:shd w:val="clear" w:color="auto" w:fill="auto"/>
            <w:noWrap/>
            <w:vAlign w:val="bottom"/>
            <w:hideMark/>
          </w:tcPr>
          <w:p w14:paraId="496AE75A"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253A38B2" w14:textId="77777777" w:rsidR="00BD4D02" w:rsidRPr="00BD4D02" w:rsidRDefault="00BD4D02" w:rsidP="00BD4D02">
            <w:pPr>
              <w:rPr>
                <w:sz w:val="20"/>
                <w:szCs w:val="20"/>
              </w:rPr>
            </w:pPr>
          </w:p>
        </w:tc>
        <w:tc>
          <w:tcPr>
            <w:tcW w:w="663" w:type="dxa"/>
            <w:shd w:val="clear" w:color="auto" w:fill="auto"/>
            <w:noWrap/>
            <w:vAlign w:val="bottom"/>
            <w:hideMark/>
          </w:tcPr>
          <w:p w14:paraId="459DC5B4" w14:textId="77777777" w:rsidR="00BD4D02" w:rsidRPr="00BD4D02" w:rsidRDefault="00BD4D02" w:rsidP="00BD4D02">
            <w:pPr>
              <w:rPr>
                <w:sz w:val="20"/>
                <w:szCs w:val="20"/>
              </w:rPr>
            </w:pPr>
          </w:p>
        </w:tc>
        <w:tc>
          <w:tcPr>
            <w:tcW w:w="663" w:type="dxa"/>
            <w:shd w:val="clear" w:color="auto" w:fill="auto"/>
            <w:noWrap/>
            <w:vAlign w:val="bottom"/>
            <w:hideMark/>
          </w:tcPr>
          <w:p w14:paraId="50B65757" w14:textId="77777777" w:rsidR="00BD4D02" w:rsidRPr="00BD4D02" w:rsidRDefault="00BD4D02" w:rsidP="00BD4D02">
            <w:pPr>
              <w:rPr>
                <w:sz w:val="20"/>
                <w:szCs w:val="20"/>
              </w:rPr>
            </w:pPr>
          </w:p>
        </w:tc>
        <w:tc>
          <w:tcPr>
            <w:tcW w:w="663" w:type="dxa"/>
            <w:shd w:val="clear" w:color="auto" w:fill="auto"/>
            <w:noWrap/>
            <w:vAlign w:val="bottom"/>
            <w:hideMark/>
          </w:tcPr>
          <w:p w14:paraId="7E419359" w14:textId="77777777" w:rsidR="00BD4D02" w:rsidRPr="00BD4D02" w:rsidRDefault="00BD4D02" w:rsidP="00BD4D02">
            <w:pPr>
              <w:rPr>
                <w:sz w:val="20"/>
                <w:szCs w:val="20"/>
              </w:rPr>
            </w:pPr>
          </w:p>
        </w:tc>
        <w:tc>
          <w:tcPr>
            <w:tcW w:w="663" w:type="dxa"/>
            <w:shd w:val="clear" w:color="auto" w:fill="auto"/>
            <w:noWrap/>
            <w:vAlign w:val="bottom"/>
            <w:hideMark/>
          </w:tcPr>
          <w:p w14:paraId="34BEA90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116665F4"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20620C45" w14:textId="77777777" w:rsidR="00BD4D02" w:rsidRPr="00BD4D02" w:rsidRDefault="00BD4D02" w:rsidP="00BD4D02">
            <w:pPr>
              <w:rPr>
                <w:sz w:val="20"/>
                <w:szCs w:val="20"/>
              </w:rPr>
            </w:pPr>
          </w:p>
        </w:tc>
        <w:tc>
          <w:tcPr>
            <w:tcW w:w="663" w:type="dxa"/>
            <w:shd w:val="clear" w:color="auto" w:fill="auto"/>
            <w:noWrap/>
            <w:vAlign w:val="bottom"/>
            <w:hideMark/>
          </w:tcPr>
          <w:p w14:paraId="6C7D899B" w14:textId="77777777" w:rsidR="00BD4D02" w:rsidRPr="00BD4D02" w:rsidRDefault="00BD4D02" w:rsidP="00BD4D02">
            <w:pPr>
              <w:rPr>
                <w:sz w:val="20"/>
                <w:szCs w:val="20"/>
              </w:rPr>
            </w:pPr>
          </w:p>
        </w:tc>
        <w:tc>
          <w:tcPr>
            <w:tcW w:w="663" w:type="dxa"/>
            <w:shd w:val="clear" w:color="auto" w:fill="auto"/>
            <w:noWrap/>
            <w:vAlign w:val="bottom"/>
            <w:hideMark/>
          </w:tcPr>
          <w:p w14:paraId="2714F7A5" w14:textId="77777777" w:rsidR="00BD4D02" w:rsidRPr="00BD4D02" w:rsidRDefault="00BD4D02" w:rsidP="00BD4D02">
            <w:pPr>
              <w:rPr>
                <w:sz w:val="20"/>
                <w:szCs w:val="20"/>
              </w:rPr>
            </w:pPr>
          </w:p>
        </w:tc>
        <w:tc>
          <w:tcPr>
            <w:tcW w:w="663" w:type="dxa"/>
            <w:shd w:val="clear" w:color="auto" w:fill="auto"/>
            <w:noWrap/>
            <w:vAlign w:val="bottom"/>
            <w:hideMark/>
          </w:tcPr>
          <w:p w14:paraId="6A6D43FD" w14:textId="77777777" w:rsidR="00BD4D02" w:rsidRPr="00BD4D02" w:rsidRDefault="00BD4D02" w:rsidP="00BD4D02">
            <w:pPr>
              <w:rPr>
                <w:sz w:val="20"/>
                <w:szCs w:val="20"/>
              </w:rPr>
            </w:pPr>
          </w:p>
        </w:tc>
        <w:tc>
          <w:tcPr>
            <w:tcW w:w="663" w:type="dxa"/>
            <w:shd w:val="clear" w:color="auto" w:fill="auto"/>
            <w:noWrap/>
            <w:vAlign w:val="bottom"/>
            <w:hideMark/>
          </w:tcPr>
          <w:p w14:paraId="7CD632F3" w14:textId="77777777" w:rsidR="00BD4D02" w:rsidRPr="00BD4D02" w:rsidRDefault="00BD4D02" w:rsidP="00BD4D02">
            <w:pPr>
              <w:rPr>
                <w:sz w:val="20"/>
                <w:szCs w:val="20"/>
              </w:rPr>
            </w:pPr>
          </w:p>
        </w:tc>
        <w:tc>
          <w:tcPr>
            <w:tcW w:w="1180" w:type="dxa"/>
            <w:shd w:val="clear" w:color="auto" w:fill="auto"/>
            <w:noWrap/>
            <w:vAlign w:val="bottom"/>
            <w:hideMark/>
          </w:tcPr>
          <w:p w14:paraId="406D7FA6"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6B478C20" w14:textId="77777777" w:rsidTr="00050580">
        <w:trPr>
          <w:trHeight w:val="144"/>
        </w:trPr>
        <w:tc>
          <w:tcPr>
            <w:tcW w:w="4500" w:type="dxa"/>
            <w:shd w:val="clear" w:color="auto" w:fill="auto"/>
            <w:noWrap/>
            <w:vAlign w:val="bottom"/>
            <w:hideMark/>
          </w:tcPr>
          <w:p w14:paraId="40CDD2B7"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Contacts (complaints)</w:t>
            </w:r>
          </w:p>
        </w:tc>
        <w:tc>
          <w:tcPr>
            <w:tcW w:w="770" w:type="dxa"/>
            <w:shd w:val="clear" w:color="auto" w:fill="auto"/>
            <w:noWrap/>
            <w:vAlign w:val="bottom"/>
            <w:hideMark/>
          </w:tcPr>
          <w:p w14:paraId="33198B86"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4</w:t>
            </w:r>
          </w:p>
        </w:tc>
        <w:tc>
          <w:tcPr>
            <w:tcW w:w="663" w:type="dxa"/>
            <w:shd w:val="clear" w:color="auto" w:fill="auto"/>
            <w:noWrap/>
            <w:vAlign w:val="bottom"/>
            <w:hideMark/>
          </w:tcPr>
          <w:p w14:paraId="760A73BC"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4</w:t>
            </w:r>
          </w:p>
        </w:tc>
        <w:tc>
          <w:tcPr>
            <w:tcW w:w="663" w:type="dxa"/>
            <w:shd w:val="clear" w:color="auto" w:fill="auto"/>
            <w:noWrap/>
            <w:vAlign w:val="bottom"/>
            <w:hideMark/>
          </w:tcPr>
          <w:p w14:paraId="0A06EE42"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4</w:t>
            </w:r>
          </w:p>
        </w:tc>
        <w:tc>
          <w:tcPr>
            <w:tcW w:w="663" w:type="dxa"/>
            <w:shd w:val="clear" w:color="auto" w:fill="auto"/>
            <w:noWrap/>
            <w:vAlign w:val="bottom"/>
            <w:hideMark/>
          </w:tcPr>
          <w:p w14:paraId="46EF104D"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4</w:t>
            </w:r>
          </w:p>
        </w:tc>
        <w:tc>
          <w:tcPr>
            <w:tcW w:w="663" w:type="dxa"/>
            <w:shd w:val="clear" w:color="auto" w:fill="auto"/>
            <w:noWrap/>
            <w:vAlign w:val="bottom"/>
            <w:hideMark/>
          </w:tcPr>
          <w:p w14:paraId="5C5127E6"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4</w:t>
            </w:r>
          </w:p>
        </w:tc>
        <w:tc>
          <w:tcPr>
            <w:tcW w:w="663" w:type="dxa"/>
            <w:shd w:val="clear" w:color="auto" w:fill="auto"/>
            <w:noWrap/>
            <w:vAlign w:val="bottom"/>
            <w:hideMark/>
          </w:tcPr>
          <w:p w14:paraId="307478CC"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6</w:t>
            </w:r>
          </w:p>
        </w:tc>
        <w:tc>
          <w:tcPr>
            <w:tcW w:w="663" w:type="dxa"/>
            <w:shd w:val="clear" w:color="auto" w:fill="auto"/>
            <w:noWrap/>
            <w:vAlign w:val="bottom"/>
            <w:hideMark/>
          </w:tcPr>
          <w:p w14:paraId="7F4B069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10</w:t>
            </w:r>
          </w:p>
        </w:tc>
        <w:tc>
          <w:tcPr>
            <w:tcW w:w="663" w:type="dxa"/>
            <w:shd w:val="clear" w:color="auto" w:fill="auto"/>
            <w:noWrap/>
            <w:vAlign w:val="bottom"/>
            <w:hideMark/>
          </w:tcPr>
          <w:p w14:paraId="7C47EE6B"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8</w:t>
            </w:r>
          </w:p>
        </w:tc>
        <w:tc>
          <w:tcPr>
            <w:tcW w:w="663" w:type="dxa"/>
            <w:shd w:val="clear" w:color="auto" w:fill="auto"/>
            <w:noWrap/>
            <w:vAlign w:val="bottom"/>
            <w:hideMark/>
          </w:tcPr>
          <w:p w14:paraId="6E9287EA"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9</w:t>
            </w:r>
          </w:p>
        </w:tc>
        <w:tc>
          <w:tcPr>
            <w:tcW w:w="663" w:type="dxa"/>
            <w:shd w:val="clear" w:color="auto" w:fill="auto"/>
            <w:noWrap/>
            <w:vAlign w:val="bottom"/>
            <w:hideMark/>
          </w:tcPr>
          <w:p w14:paraId="0674FE64"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9</w:t>
            </w:r>
          </w:p>
        </w:tc>
        <w:tc>
          <w:tcPr>
            <w:tcW w:w="663" w:type="dxa"/>
            <w:shd w:val="clear" w:color="auto" w:fill="auto"/>
            <w:noWrap/>
            <w:vAlign w:val="bottom"/>
            <w:hideMark/>
          </w:tcPr>
          <w:p w14:paraId="515008D6"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9</w:t>
            </w:r>
          </w:p>
        </w:tc>
        <w:tc>
          <w:tcPr>
            <w:tcW w:w="663" w:type="dxa"/>
            <w:shd w:val="clear" w:color="auto" w:fill="auto"/>
            <w:noWrap/>
            <w:vAlign w:val="bottom"/>
            <w:hideMark/>
          </w:tcPr>
          <w:p w14:paraId="066FD0AA" w14:textId="77777777" w:rsidR="00BD4D02" w:rsidRPr="00BD4D02" w:rsidRDefault="00BD4D02" w:rsidP="00BD4D02">
            <w:pPr>
              <w:jc w:val="right"/>
              <w:rPr>
                <w:rFonts w:ascii="Calibri" w:hAnsi="Calibri" w:cs="Calibri"/>
                <w:color w:val="000000"/>
                <w:sz w:val="20"/>
                <w:szCs w:val="20"/>
              </w:rPr>
            </w:pPr>
          </w:p>
        </w:tc>
        <w:tc>
          <w:tcPr>
            <w:tcW w:w="1180" w:type="dxa"/>
            <w:shd w:val="clear" w:color="auto" w:fill="auto"/>
            <w:noWrap/>
            <w:vAlign w:val="bottom"/>
            <w:hideMark/>
          </w:tcPr>
          <w:p w14:paraId="0AA4B1D9"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71</w:t>
            </w:r>
          </w:p>
        </w:tc>
      </w:tr>
      <w:tr w:rsidR="00BD4D02" w:rsidRPr="00BD4D02" w14:paraId="637FE42E" w14:textId="77777777" w:rsidTr="00050580">
        <w:trPr>
          <w:trHeight w:val="144"/>
        </w:trPr>
        <w:tc>
          <w:tcPr>
            <w:tcW w:w="4500" w:type="dxa"/>
            <w:shd w:val="clear" w:color="auto" w:fill="auto"/>
            <w:noWrap/>
            <w:vAlign w:val="bottom"/>
            <w:hideMark/>
          </w:tcPr>
          <w:p w14:paraId="32D78D9B"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Dispute resolution</w:t>
            </w:r>
          </w:p>
        </w:tc>
        <w:tc>
          <w:tcPr>
            <w:tcW w:w="770" w:type="dxa"/>
            <w:shd w:val="clear" w:color="auto" w:fill="auto"/>
            <w:noWrap/>
            <w:vAlign w:val="bottom"/>
            <w:hideMark/>
          </w:tcPr>
          <w:p w14:paraId="12602F08"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0EF8F078"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w:t>
            </w:r>
          </w:p>
        </w:tc>
        <w:tc>
          <w:tcPr>
            <w:tcW w:w="663" w:type="dxa"/>
            <w:shd w:val="clear" w:color="auto" w:fill="auto"/>
            <w:noWrap/>
            <w:vAlign w:val="bottom"/>
            <w:hideMark/>
          </w:tcPr>
          <w:p w14:paraId="7F2DE5A9"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1ED07BD5"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3F2B6289"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7E6FF888"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289E86A6" w14:textId="77777777" w:rsidR="00BD4D02" w:rsidRPr="00BD4D02" w:rsidRDefault="00BD4D02" w:rsidP="00BD4D02">
            <w:pPr>
              <w:rPr>
                <w:sz w:val="20"/>
                <w:szCs w:val="20"/>
              </w:rPr>
            </w:pPr>
          </w:p>
        </w:tc>
        <w:tc>
          <w:tcPr>
            <w:tcW w:w="663" w:type="dxa"/>
            <w:shd w:val="clear" w:color="auto" w:fill="auto"/>
            <w:noWrap/>
            <w:vAlign w:val="bottom"/>
            <w:hideMark/>
          </w:tcPr>
          <w:p w14:paraId="64A050EA" w14:textId="77777777" w:rsidR="00BD4D02" w:rsidRPr="00BD4D02" w:rsidRDefault="00BD4D02" w:rsidP="00BD4D02">
            <w:pPr>
              <w:rPr>
                <w:sz w:val="20"/>
                <w:szCs w:val="20"/>
              </w:rPr>
            </w:pPr>
          </w:p>
        </w:tc>
        <w:tc>
          <w:tcPr>
            <w:tcW w:w="663" w:type="dxa"/>
            <w:shd w:val="clear" w:color="auto" w:fill="auto"/>
            <w:noWrap/>
            <w:vAlign w:val="bottom"/>
            <w:hideMark/>
          </w:tcPr>
          <w:p w14:paraId="754D0D34"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280068D2"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32C20D8B"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598E4B63"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1180" w:type="dxa"/>
            <w:shd w:val="clear" w:color="auto" w:fill="auto"/>
            <w:noWrap/>
            <w:vAlign w:val="bottom"/>
            <w:hideMark/>
          </w:tcPr>
          <w:p w14:paraId="42EEF027"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15</w:t>
            </w:r>
          </w:p>
        </w:tc>
      </w:tr>
      <w:tr w:rsidR="00BD4D02" w:rsidRPr="00BD4D02" w14:paraId="1AFA2771" w14:textId="77777777" w:rsidTr="00050580">
        <w:trPr>
          <w:trHeight w:val="144"/>
        </w:trPr>
        <w:tc>
          <w:tcPr>
            <w:tcW w:w="4500" w:type="dxa"/>
            <w:shd w:val="clear" w:color="auto" w:fill="auto"/>
            <w:noWrap/>
            <w:vAlign w:val="bottom"/>
            <w:hideMark/>
          </w:tcPr>
          <w:p w14:paraId="3C6194A6"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Dispute resolution - procedures</w:t>
            </w:r>
          </w:p>
        </w:tc>
        <w:tc>
          <w:tcPr>
            <w:tcW w:w="770" w:type="dxa"/>
            <w:shd w:val="clear" w:color="auto" w:fill="auto"/>
            <w:noWrap/>
            <w:vAlign w:val="bottom"/>
            <w:hideMark/>
          </w:tcPr>
          <w:p w14:paraId="06907947"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6F894B84"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01230609"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37AB3D25" w14:textId="77777777" w:rsidR="00BD4D02" w:rsidRPr="00BD4D02" w:rsidRDefault="00BD4D02" w:rsidP="00BD4D02">
            <w:pPr>
              <w:rPr>
                <w:sz w:val="20"/>
                <w:szCs w:val="20"/>
              </w:rPr>
            </w:pPr>
          </w:p>
        </w:tc>
        <w:tc>
          <w:tcPr>
            <w:tcW w:w="663" w:type="dxa"/>
            <w:shd w:val="clear" w:color="auto" w:fill="auto"/>
            <w:noWrap/>
            <w:vAlign w:val="bottom"/>
            <w:hideMark/>
          </w:tcPr>
          <w:p w14:paraId="3F557EEC" w14:textId="77777777" w:rsidR="00BD4D02" w:rsidRPr="00BD4D02" w:rsidRDefault="00BD4D02" w:rsidP="00BD4D02">
            <w:pPr>
              <w:rPr>
                <w:sz w:val="20"/>
                <w:szCs w:val="20"/>
              </w:rPr>
            </w:pPr>
          </w:p>
        </w:tc>
        <w:tc>
          <w:tcPr>
            <w:tcW w:w="663" w:type="dxa"/>
            <w:shd w:val="clear" w:color="auto" w:fill="auto"/>
            <w:noWrap/>
            <w:vAlign w:val="bottom"/>
            <w:hideMark/>
          </w:tcPr>
          <w:p w14:paraId="4DF2F7CE" w14:textId="77777777" w:rsidR="00BD4D02" w:rsidRPr="00BD4D02" w:rsidRDefault="00BD4D02" w:rsidP="00BD4D02">
            <w:pPr>
              <w:rPr>
                <w:sz w:val="20"/>
                <w:szCs w:val="20"/>
              </w:rPr>
            </w:pPr>
          </w:p>
        </w:tc>
        <w:tc>
          <w:tcPr>
            <w:tcW w:w="663" w:type="dxa"/>
            <w:shd w:val="clear" w:color="auto" w:fill="auto"/>
            <w:noWrap/>
            <w:vAlign w:val="bottom"/>
            <w:hideMark/>
          </w:tcPr>
          <w:p w14:paraId="7D196C07" w14:textId="77777777" w:rsidR="00BD4D02" w:rsidRPr="00BD4D02" w:rsidRDefault="00BD4D02" w:rsidP="00BD4D02">
            <w:pPr>
              <w:rPr>
                <w:sz w:val="20"/>
                <w:szCs w:val="20"/>
              </w:rPr>
            </w:pPr>
          </w:p>
        </w:tc>
        <w:tc>
          <w:tcPr>
            <w:tcW w:w="663" w:type="dxa"/>
            <w:shd w:val="clear" w:color="auto" w:fill="auto"/>
            <w:noWrap/>
            <w:vAlign w:val="bottom"/>
            <w:hideMark/>
          </w:tcPr>
          <w:p w14:paraId="535252B6" w14:textId="77777777" w:rsidR="00BD4D02" w:rsidRPr="00BD4D02" w:rsidRDefault="00BD4D02" w:rsidP="00BD4D02">
            <w:pPr>
              <w:rPr>
                <w:sz w:val="20"/>
                <w:szCs w:val="20"/>
              </w:rPr>
            </w:pPr>
          </w:p>
        </w:tc>
        <w:tc>
          <w:tcPr>
            <w:tcW w:w="663" w:type="dxa"/>
            <w:shd w:val="clear" w:color="auto" w:fill="auto"/>
            <w:noWrap/>
            <w:vAlign w:val="bottom"/>
            <w:hideMark/>
          </w:tcPr>
          <w:p w14:paraId="183BE7DC" w14:textId="77777777" w:rsidR="00BD4D02" w:rsidRPr="00BD4D02" w:rsidRDefault="00BD4D02" w:rsidP="00BD4D02">
            <w:pPr>
              <w:rPr>
                <w:sz w:val="20"/>
                <w:szCs w:val="20"/>
              </w:rPr>
            </w:pPr>
          </w:p>
        </w:tc>
        <w:tc>
          <w:tcPr>
            <w:tcW w:w="663" w:type="dxa"/>
            <w:shd w:val="clear" w:color="auto" w:fill="auto"/>
            <w:noWrap/>
            <w:vAlign w:val="bottom"/>
            <w:hideMark/>
          </w:tcPr>
          <w:p w14:paraId="4D3AB14C" w14:textId="77777777" w:rsidR="00BD4D02" w:rsidRPr="00BD4D02" w:rsidRDefault="00BD4D02" w:rsidP="00BD4D02">
            <w:pPr>
              <w:rPr>
                <w:sz w:val="20"/>
                <w:szCs w:val="20"/>
              </w:rPr>
            </w:pPr>
          </w:p>
        </w:tc>
        <w:tc>
          <w:tcPr>
            <w:tcW w:w="663" w:type="dxa"/>
            <w:shd w:val="clear" w:color="auto" w:fill="auto"/>
            <w:noWrap/>
            <w:vAlign w:val="bottom"/>
            <w:hideMark/>
          </w:tcPr>
          <w:p w14:paraId="5FB08A4C" w14:textId="77777777" w:rsidR="00BD4D02" w:rsidRPr="00BD4D02" w:rsidRDefault="00BD4D02" w:rsidP="00BD4D02">
            <w:pPr>
              <w:rPr>
                <w:sz w:val="20"/>
                <w:szCs w:val="20"/>
              </w:rPr>
            </w:pPr>
          </w:p>
        </w:tc>
        <w:tc>
          <w:tcPr>
            <w:tcW w:w="663" w:type="dxa"/>
            <w:shd w:val="clear" w:color="auto" w:fill="auto"/>
            <w:noWrap/>
            <w:vAlign w:val="bottom"/>
            <w:hideMark/>
          </w:tcPr>
          <w:p w14:paraId="12B66FB6" w14:textId="77777777" w:rsidR="00BD4D02" w:rsidRPr="00BD4D02" w:rsidRDefault="00BD4D02" w:rsidP="00BD4D02">
            <w:pPr>
              <w:rPr>
                <w:sz w:val="20"/>
                <w:szCs w:val="20"/>
              </w:rPr>
            </w:pPr>
          </w:p>
        </w:tc>
        <w:tc>
          <w:tcPr>
            <w:tcW w:w="1180" w:type="dxa"/>
            <w:shd w:val="clear" w:color="auto" w:fill="auto"/>
            <w:noWrap/>
            <w:vAlign w:val="bottom"/>
            <w:hideMark/>
          </w:tcPr>
          <w:p w14:paraId="7BE85462"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43DC63B2" w14:textId="77777777" w:rsidTr="00050580">
        <w:trPr>
          <w:trHeight w:val="144"/>
        </w:trPr>
        <w:tc>
          <w:tcPr>
            <w:tcW w:w="4500" w:type="dxa"/>
            <w:shd w:val="clear" w:color="auto" w:fill="auto"/>
            <w:noWrap/>
            <w:vAlign w:val="bottom"/>
            <w:hideMark/>
          </w:tcPr>
          <w:p w14:paraId="09C7ED00" w14:textId="77777777" w:rsidR="00BD4D02" w:rsidRPr="00BD4D02" w:rsidRDefault="00BD4D02" w:rsidP="00BD4D02">
            <w:pPr>
              <w:ind w:firstLineChars="100" w:firstLine="201"/>
              <w:rPr>
                <w:rFonts w:ascii="Calibri" w:hAnsi="Calibri" w:cs="Calibri"/>
                <w:b/>
                <w:bCs/>
                <w:color w:val="000000"/>
                <w:sz w:val="20"/>
                <w:szCs w:val="20"/>
              </w:rPr>
            </w:pPr>
            <w:r w:rsidRPr="00BD4D02">
              <w:rPr>
                <w:rFonts w:ascii="Calibri" w:hAnsi="Calibri" w:cs="Calibri"/>
                <w:b/>
                <w:bCs/>
                <w:color w:val="000000"/>
                <w:sz w:val="20"/>
                <w:szCs w:val="20"/>
              </w:rPr>
              <w:t>Technology - availability</w:t>
            </w:r>
          </w:p>
        </w:tc>
        <w:tc>
          <w:tcPr>
            <w:tcW w:w="770" w:type="dxa"/>
            <w:shd w:val="clear" w:color="auto" w:fill="auto"/>
            <w:noWrap/>
            <w:vAlign w:val="bottom"/>
            <w:hideMark/>
          </w:tcPr>
          <w:p w14:paraId="55DBCF66"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w:t>
            </w:r>
          </w:p>
        </w:tc>
        <w:tc>
          <w:tcPr>
            <w:tcW w:w="663" w:type="dxa"/>
            <w:shd w:val="clear" w:color="auto" w:fill="auto"/>
            <w:noWrap/>
            <w:vAlign w:val="bottom"/>
            <w:hideMark/>
          </w:tcPr>
          <w:p w14:paraId="6CB050F2"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2</w:t>
            </w:r>
          </w:p>
        </w:tc>
        <w:tc>
          <w:tcPr>
            <w:tcW w:w="663" w:type="dxa"/>
            <w:shd w:val="clear" w:color="auto" w:fill="auto"/>
            <w:noWrap/>
            <w:vAlign w:val="bottom"/>
            <w:hideMark/>
          </w:tcPr>
          <w:p w14:paraId="431E4C66"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2</w:t>
            </w:r>
          </w:p>
        </w:tc>
        <w:tc>
          <w:tcPr>
            <w:tcW w:w="663" w:type="dxa"/>
            <w:shd w:val="clear" w:color="auto" w:fill="auto"/>
            <w:noWrap/>
            <w:vAlign w:val="bottom"/>
            <w:hideMark/>
          </w:tcPr>
          <w:p w14:paraId="7C65C1E3"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w:t>
            </w:r>
          </w:p>
        </w:tc>
        <w:tc>
          <w:tcPr>
            <w:tcW w:w="663" w:type="dxa"/>
            <w:shd w:val="clear" w:color="auto" w:fill="auto"/>
            <w:noWrap/>
            <w:vAlign w:val="bottom"/>
            <w:hideMark/>
          </w:tcPr>
          <w:p w14:paraId="66CC23B0"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w:t>
            </w:r>
          </w:p>
        </w:tc>
        <w:tc>
          <w:tcPr>
            <w:tcW w:w="663" w:type="dxa"/>
            <w:shd w:val="clear" w:color="auto" w:fill="auto"/>
            <w:noWrap/>
            <w:vAlign w:val="bottom"/>
            <w:hideMark/>
          </w:tcPr>
          <w:p w14:paraId="40820B74" w14:textId="77777777" w:rsidR="00BD4D02" w:rsidRPr="00BD4D02" w:rsidRDefault="00BD4D02" w:rsidP="00BD4D02">
            <w:pPr>
              <w:jc w:val="right"/>
              <w:rPr>
                <w:rFonts w:ascii="Calibri" w:hAnsi="Calibri" w:cs="Calibri"/>
                <w:b/>
                <w:bCs/>
                <w:color w:val="000000"/>
                <w:sz w:val="20"/>
                <w:szCs w:val="20"/>
              </w:rPr>
            </w:pPr>
          </w:p>
        </w:tc>
        <w:tc>
          <w:tcPr>
            <w:tcW w:w="663" w:type="dxa"/>
            <w:shd w:val="clear" w:color="auto" w:fill="auto"/>
            <w:noWrap/>
            <w:vAlign w:val="bottom"/>
            <w:hideMark/>
          </w:tcPr>
          <w:p w14:paraId="57FE25EC" w14:textId="77777777" w:rsidR="00BD4D02" w:rsidRPr="00BD4D02" w:rsidRDefault="00BD4D02" w:rsidP="00BD4D02">
            <w:pPr>
              <w:rPr>
                <w:sz w:val="20"/>
                <w:szCs w:val="20"/>
              </w:rPr>
            </w:pPr>
          </w:p>
        </w:tc>
        <w:tc>
          <w:tcPr>
            <w:tcW w:w="663" w:type="dxa"/>
            <w:shd w:val="clear" w:color="auto" w:fill="auto"/>
            <w:noWrap/>
            <w:vAlign w:val="bottom"/>
            <w:hideMark/>
          </w:tcPr>
          <w:p w14:paraId="4C01C532" w14:textId="77777777" w:rsidR="00BD4D02" w:rsidRPr="00BD4D02" w:rsidRDefault="00BD4D02" w:rsidP="00BD4D02">
            <w:pPr>
              <w:rPr>
                <w:sz w:val="20"/>
                <w:szCs w:val="20"/>
              </w:rPr>
            </w:pPr>
          </w:p>
        </w:tc>
        <w:tc>
          <w:tcPr>
            <w:tcW w:w="663" w:type="dxa"/>
            <w:shd w:val="clear" w:color="auto" w:fill="auto"/>
            <w:noWrap/>
            <w:vAlign w:val="bottom"/>
            <w:hideMark/>
          </w:tcPr>
          <w:p w14:paraId="7AF6EFAB" w14:textId="77777777" w:rsidR="00BD4D02" w:rsidRPr="00BD4D02" w:rsidRDefault="00BD4D02" w:rsidP="00BD4D02">
            <w:pPr>
              <w:rPr>
                <w:sz w:val="20"/>
                <w:szCs w:val="20"/>
              </w:rPr>
            </w:pPr>
          </w:p>
        </w:tc>
        <w:tc>
          <w:tcPr>
            <w:tcW w:w="663" w:type="dxa"/>
            <w:shd w:val="clear" w:color="auto" w:fill="auto"/>
            <w:noWrap/>
            <w:vAlign w:val="bottom"/>
            <w:hideMark/>
          </w:tcPr>
          <w:p w14:paraId="6E557186" w14:textId="77777777" w:rsidR="00BD4D02" w:rsidRPr="00BD4D02" w:rsidRDefault="00BD4D02" w:rsidP="00BD4D02">
            <w:pPr>
              <w:rPr>
                <w:sz w:val="20"/>
                <w:szCs w:val="20"/>
              </w:rPr>
            </w:pPr>
          </w:p>
        </w:tc>
        <w:tc>
          <w:tcPr>
            <w:tcW w:w="663" w:type="dxa"/>
            <w:shd w:val="clear" w:color="auto" w:fill="auto"/>
            <w:noWrap/>
            <w:vAlign w:val="bottom"/>
            <w:hideMark/>
          </w:tcPr>
          <w:p w14:paraId="5EF10C00" w14:textId="77777777" w:rsidR="00BD4D02" w:rsidRPr="00BD4D02" w:rsidRDefault="00BD4D02" w:rsidP="00BD4D02">
            <w:pPr>
              <w:rPr>
                <w:sz w:val="20"/>
                <w:szCs w:val="20"/>
              </w:rPr>
            </w:pPr>
          </w:p>
        </w:tc>
        <w:tc>
          <w:tcPr>
            <w:tcW w:w="663" w:type="dxa"/>
            <w:shd w:val="clear" w:color="auto" w:fill="auto"/>
            <w:noWrap/>
            <w:vAlign w:val="bottom"/>
            <w:hideMark/>
          </w:tcPr>
          <w:p w14:paraId="6066529C" w14:textId="77777777" w:rsidR="00BD4D02" w:rsidRPr="00BD4D02" w:rsidRDefault="00BD4D02" w:rsidP="00BD4D02">
            <w:pPr>
              <w:rPr>
                <w:sz w:val="20"/>
                <w:szCs w:val="20"/>
              </w:rPr>
            </w:pPr>
          </w:p>
        </w:tc>
        <w:tc>
          <w:tcPr>
            <w:tcW w:w="1180" w:type="dxa"/>
            <w:shd w:val="clear" w:color="auto" w:fill="auto"/>
            <w:noWrap/>
            <w:vAlign w:val="bottom"/>
            <w:hideMark/>
          </w:tcPr>
          <w:p w14:paraId="507C191E"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7</w:t>
            </w:r>
          </w:p>
        </w:tc>
      </w:tr>
      <w:tr w:rsidR="00BD4D02" w:rsidRPr="00BD4D02" w14:paraId="06287B3B" w14:textId="77777777" w:rsidTr="00050580">
        <w:trPr>
          <w:trHeight w:val="144"/>
        </w:trPr>
        <w:tc>
          <w:tcPr>
            <w:tcW w:w="4500" w:type="dxa"/>
            <w:shd w:val="clear" w:color="auto" w:fill="auto"/>
            <w:noWrap/>
            <w:vAlign w:val="bottom"/>
            <w:hideMark/>
          </w:tcPr>
          <w:p w14:paraId="78E98EA9"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Audio</w:t>
            </w:r>
          </w:p>
        </w:tc>
        <w:tc>
          <w:tcPr>
            <w:tcW w:w="770" w:type="dxa"/>
            <w:shd w:val="clear" w:color="auto" w:fill="auto"/>
            <w:noWrap/>
            <w:vAlign w:val="bottom"/>
            <w:hideMark/>
          </w:tcPr>
          <w:p w14:paraId="3312D1EC"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740C0D3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0D63156D"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2D39BD8E" w14:textId="77777777" w:rsidR="00BD4D02" w:rsidRPr="00BD4D02" w:rsidRDefault="00BD4D02" w:rsidP="00BD4D02">
            <w:pPr>
              <w:rPr>
                <w:sz w:val="20"/>
                <w:szCs w:val="20"/>
              </w:rPr>
            </w:pPr>
          </w:p>
        </w:tc>
        <w:tc>
          <w:tcPr>
            <w:tcW w:w="663" w:type="dxa"/>
            <w:shd w:val="clear" w:color="auto" w:fill="auto"/>
            <w:noWrap/>
            <w:vAlign w:val="bottom"/>
            <w:hideMark/>
          </w:tcPr>
          <w:p w14:paraId="1B29CAF4" w14:textId="77777777" w:rsidR="00BD4D02" w:rsidRPr="00BD4D02" w:rsidRDefault="00BD4D02" w:rsidP="00BD4D02">
            <w:pPr>
              <w:rPr>
                <w:sz w:val="20"/>
                <w:szCs w:val="20"/>
              </w:rPr>
            </w:pPr>
          </w:p>
        </w:tc>
        <w:tc>
          <w:tcPr>
            <w:tcW w:w="663" w:type="dxa"/>
            <w:shd w:val="clear" w:color="auto" w:fill="auto"/>
            <w:noWrap/>
            <w:vAlign w:val="bottom"/>
            <w:hideMark/>
          </w:tcPr>
          <w:p w14:paraId="2D5BA85E" w14:textId="77777777" w:rsidR="00BD4D02" w:rsidRPr="00BD4D02" w:rsidRDefault="00BD4D02" w:rsidP="00BD4D02">
            <w:pPr>
              <w:rPr>
                <w:sz w:val="20"/>
                <w:szCs w:val="20"/>
              </w:rPr>
            </w:pPr>
          </w:p>
        </w:tc>
        <w:tc>
          <w:tcPr>
            <w:tcW w:w="663" w:type="dxa"/>
            <w:shd w:val="clear" w:color="auto" w:fill="auto"/>
            <w:noWrap/>
            <w:vAlign w:val="bottom"/>
            <w:hideMark/>
          </w:tcPr>
          <w:p w14:paraId="3056DAB1" w14:textId="77777777" w:rsidR="00BD4D02" w:rsidRPr="00BD4D02" w:rsidRDefault="00BD4D02" w:rsidP="00BD4D02">
            <w:pPr>
              <w:rPr>
                <w:sz w:val="20"/>
                <w:szCs w:val="20"/>
              </w:rPr>
            </w:pPr>
          </w:p>
        </w:tc>
        <w:tc>
          <w:tcPr>
            <w:tcW w:w="663" w:type="dxa"/>
            <w:shd w:val="clear" w:color="auto" w:fill="auto"/>
            <w:noWrap/>
            <w:vAlign w:val="bottom"/>
            <w:hideMark/>
          </w:tcPr>
          <w:p w14:paraId="0F108927" w14:textId="77777777" w:rsidR="00BD4D02" w:rsidRPr="00BD4D02" w:rsidRDefault="00BD4D02" w:rsidP="00BD4D02">
            <w:pPr>
              <w:rPr>
                <w:sz w:val="20"/>
                <w:szCs w:val="20"/>
              </w:rPr>
            </w:pPr>
          </w:p>
        </w:tc>
        <w:tc>
          <w:tcPr>
            <w:tcW w:w="663" w:type="dxa"/>
            <w:shd w:val="clear" w:color="auto" w:fill="auto"/>
            <w:noWrap/>
            <w:vAlign w:val="bottom"/>
            <w:hideMark/>
          </w:tcPr>
          <w:p w14:paraId="086A5046" w14:textId="77777777" w:rsidR="00BD4D02" w:rsidRPr="00BD4D02" w:rsidRDefault="00BD4D02" w:rsidP="00BD4D02">
            <w:pPr>
              <w:rPr>
                <w:sz w:val="20"/>
                <w:szCs w:val="20"/>
              </w:rPr>
            </w:pPr>
          </w:p>
        </w:tc>
        <w:tc>
          <w:tcPr>
            <w:tcW w:w="663" w:type="dxa"/>
            <w:shd w:val="clear" w:color="auto" w:fill="auto"/>
            <w:noWrap/>
            <w:vAlign w:val="bottom"/>
            <w:hideMark/>
          </w:tcPr>
          <w:p w14:paraId="71963C42" w14:textId="77777777" w:rsidR="00BD4D02" w:rsidRPr="00BD4D02" w:rsidRDefault="00BD4D02" w:rsidP="00BD4D02">
            <w:pPr>
              <w:rPr>
                <w:sz w:val="20"/>
                <w:szCs w:val="20"/>
              </w:rPr>
            </w:pPr>
          </w:p>
        </w:tc>
        <w:tc>
          <w:tcPr>
            <w:tcW w:w="663" w:type="dxa"/>
            <w:shd w:val="clear" w:color="auto" w:fill="auto"/>
            <w:noWrap/>
            <w:vAlign w:val="bottom"/>
            <w:hideMark/>
          </w:tcPr>
          <w:p w14:paraId="2B929DF9" w14:textId="77777777" w:rsidR="00BD4D02" w:rsidRPr="00BD4D02" w:rsidRDefault="00BD4D02" w:rsidP="00BD4D02">
            <w:pPr>
              <w:rPr>
                <w:sz w:val="20"/>
                <w:szCs w:val="20"/>
              </w:rPr>
            </w:pPr>
          </w:p>
        </w:tc>
        <w:tc>
          <w:tcPr>
            <w:tcW w:w="663" w:type="dxa"/>
            <w:shd w:val="clear" w:color="auto" w:fill="auto"/>
            <w:noWrap/>
            <w:vAlign w:val="bottom"/>
            <w:hideMark/>
          </w:tcPr>
          <w:p w14:paraId="32C325CF" w14:textId="77777777" w:rsidR="00BD4D02" w:rsidRPr="00BD4D02" w:rsidRDefault="00BD4D02" w:rsidP="00BD4D02">
            <w:pPr>
              <w:rPr>
                <w:sz w:val="20"/>
                <w:szCs w:val="20"/>
              </w:rPr>
            </w:pPr>
          </w:p>
        </w:tc>
        <w:tc>
          <w:tcPr>
            <w:tcW w:w="1180" w:type="dxa"/>
            <w:shd w:val="clear" w:color="auto" w:fill="auto"/>
            <w:noWrap/>
            <w:vAlign w:val="bottom"/>
            <w:hideMark/>
          </w:tcPr>
          <w:p w14:paraId="038E5390"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r>
      <w:tr w:rsidR="00BD4D02" w:rsidRPr="00BD4D02" w14:paraId="7A77CA64" w14:textId="77777777" w:rsidTr="00050580">
        <w:trPr>
          <w:trHeight w:val="144"/>
        </w:trPr>
        <w:tc>
          <w:tcPr>
            <w:tcW w:w="4500" w:type="dxa"/>
            <w:shd w:val="clear" w:color="auto" w:fill="auto"/>
            <w:noWrap/>
            <w:vAlign w:val="bottom"/>
            <w:hideMark/>
          </w:tcPr>
          <w:p w14:paraId="5A0C3796"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Audio (</w:t>
            </w:r>
            <w:proofErr w:type="spellStart"/>
            <w:r w:rsidRPr="00BD4D02">
              <w:rPr>
                <w:rFonts w:ascii="Calibri" w:hAnsi="Calibri" w:cs="Calibri"/>
                <w:color w:val="000000"/>
                <w:sz w:val="20"/>
                <w:szCs w:val="20"/>
              </w:rPr>
              <w:t>excl'g</w:t>
            </w:r>
            <w:proofErr w:type="spellEnd"/>
            <w:r w:rsidRPr="00BD4D02">
              <w:rPr>
                <w:rFonts w:ascii="Calibri" w:hAnsi="Calibri" w:cs="Calibri"/>
                <w:color w:val="000000"/>
                <w:sz w:val="20"/>
                <w:szCs w:val="20"/>
              </w:rPr>
              <w:t xml:space="preserve"> radio)</w:t>
            </w:r>
          </w:p>
        </w:tc>
        <w:tc>
          <w:tcPr>
            <w:tcW w:w="770" w:type="dxa"/>
            <w:shd w:val="clear" w:color="auto" w:fill="auto"/>
            <w:noWrap/>
            <w:vAlign w:val="bottom"/>
            <w:hideMark/>
          </w:tcPr>
          <w:p w14:paraId="21BD5554"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777F3734" w14:textId="77777777" w:rsidR="00BD4D02" w:rsidRPr="00BD4D02" w:rsidRDefault="00BD4D02" w:rsidP="00BD4D02">
            <w:pPr>
              <w:rPr>
                <w:sz w:val="20"/>
                <w:szCs w:val="20"/>
              </w:rPr>
            </w:pPr>
          </w:p>
        </w:tc>
        <w:tc>
          <w:tcPr>
            <w:tcW w:w="663" w:type="dxa"/>
            <w:shd w:val="clear" w:color="auto" w:fill="auto"/>
            <w:noWrap/>
            <w:vAlign w:val="bottom"/>
            <w:hideMark/>
          </w:tcPr>
          <w:p w14:paraId="6675AEDD"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4BC2408E"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7633737B"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2EE2251A"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34B6342E" w14:textId="77777777" w:rsidR="00BD4D02" w:rsidRPr="00BD4D02" w:rsidRDefault="00BD4D02" w:rsidP="00BD4D02">
            <w:pPr>
              <w:rPr>
                <w:sz w:val="20"/>
                <w:szCs w:val="20"/>
              </w:rPr>
            </w:pPr>
          </w:p>
        </w:tc>
        <w:tc>
          <w:tcPr>
            <w:tcW w:w="663" w:type="dxa"/>
            <w:shd w:val="clear" w:color="auto" w:fill="auto"/>
            <w:noWrap/>
            <w:vAlign w:val="bottom"/>
            <w:hideMark/>
          </w:tcPr>
          <w:p w14:paraId="4CFCAB77" w14:textId="77777777" w:rsidR="00BD4D02" w:rsidRPr="00BD4D02" w:rsidRDefault="00BD4D02" w:rsidP="00BD4D02">
            <w:pPr>
              <w:rPr>
                <w:sz w:val="20"/>
                <w:szCs w:val="20"/>
              </w:rPr>
            </w:pPr>
          </w:p>
        </w:tc>
        <w:tc>
          <w:tcPr>
            <w:tcW w:w="663" w:type="dxa"/>
            <w:shd w:val="clear" w:color="auto" w:fill="auto"/>
            <w:noWrap/>
            <w:vAlign w:val="bottom"/>
            <w:hideMark/>
          </w:tcPr>
          <w:p w14:paraId="144ADD82" w14:textId="77777777" w:rsidR="00BD4D02" w:rsidRPr="00BD4D02" w:rsidRDefault="00BD4D02" w:rsidP="00BD4D02">
            <w:pPr>
              <w:rPr>
                <w:sz w:val="20"/>
                <w:szCs w:val="20"/>
              </w:rPr>
            </w:pPr>
          </w:p>
        </w:tc>
        <w:tc>
          <w:tcPr>
            <w:tcW w:w="663" w:type="dxa"/>
            <w:shd w:val="clear" w:color="auto" w:fill="auto"/>
            <w:noWrap/>
            <w:vAlign w:val="bottom"/>
            <w:hideMark/>
          </w:tcPr>
          <w:p w14:paraId="17207F93" w14:textId="77777777" w:rsidR="00BD4D02" w:rsidRPr="00BD4D02" w:rsidRDefault="00BD4D02" w:rsidP="00BD4D02">
            <w:pPr>
              <w:rPr>
                <w:sz w:val="20"/>
                <w:szCs w:val="20"/>
              </w:rPr>
            </w:pPr>
          </w:p>
        </w:tc>
        <w:tc>
          <w:tcPr>
            <w:tcW w:w="663" w:type="dxa"/>
            <w:shd w:val="clear" w:color="auto" w:fill="auto"/>
            <w:noWrap/>
            <w:vAlign w:val="bottom"/>
            <w:hideMark/>
          </w:tcPr>
          <w:p w14:paraId="54CAD87B" w14:textId="77777777" w:rsidR="00BD4D02" w:rsidRPr="00BD4D02" w:rsidRDefault="00BD4D02" w:rsidP="00BD4D02">
            <w:pPr>
              <w:rPr>
                <w:sz w:val="20"/>
                <w:szCs w:val="20"/>
              </w:rPr>
            </w:pPr>
          </w:p>
        </w:tc>
        <w:tc>
          <w:tcPr>
            <w:tcW w:w="663" w:type="dxa"/>
            <w:shd w:val="clear" w:color="auto" w:fill="auto"/>
            <w:noWrap/>
            <w:vAlign w:val="bottom"/>
            <w:hideMark/>
          </w:tcPr>
          <w:p w14:paraId="04DFDBBA" w14:textId="77777777" w:rsidR="00BD4D02" w:rsidRPr="00BD4D02" w:rsidRDefault="00BD4D02" w:rsidP="00BD4D02">
            <w:pPr>
              <w:rPr>
                <w:sz w:val="20"/>
                <w:szCs w:val="20"/>
              </w:rPr>
            </w:pPr>
          </w:p>
        </w:tc>
        <w:tc>
          <w:tcPr>
            <w:tcW w:w="1180" w:type="dxa"/>
            <w:shd w:val="clear" w:color="auto" w:fill="auto"/>
            <w:noWrap/>
            <w:vAlign w:val="bottom"/>
            <w:hideMark/>
          </w:tcPr>
          <w:p w14:paraId="1AFD1769"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w:t>
            </w:r>
          </w:p>
        </w:tc>
      </w:tr>
      <w:tr w:rsidR="00BD4D02" w:rsidRPr="00BD4D02" w14:paraId="2ADCCA16" w14:textId="77777777" w:rsidTr="00050580">
        <w:trPr>
          <w:trHeight w:val="144"/>
        </w:trPr>
        <w:tc>
          <w:tcPr>
            <w:tcW w:w="4500" w:type="dxa"/>
            <w:shd w:val="clear" w:color="auto" w:fill="auto"/>
            <w:noWrap/>
            <w:vAlign w:val="bottom"/>
            <w:hideMark/>
          </w:tcPr>
          <w:p w14:paraId="609C67D2"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Television - digital</w:t>
            </w:r>
          </w:p>
        </w:tc>
        <w:tc>
          <w:tcPr>
            <w:tcW w:w="770" w:type="dxa"/>
            <w:shd w:val="clear" w:color="auto" w:fill="auto"/>
            <w:noWrap/>
            <w:vAlign w:val="bottom"/>
            <w:hideMark/>
          </w:tcPr>
          <w:p w14:paraId="6B47C91D"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3BFB57F8"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346A977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7840956D"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60B16C75" w14:textId="77777777" w:rsidR="00BD4D02" w:rsidRPr="00BD4D02" w:rsidRDefault="00BD4D02" w:rsidP="00BD4D02">
            <w:pPr>
              <w:rPr>
                <w:sz w:val="20"/>
                <w:szCs w:val="20"/>
              </w:rPr>
            </w:pPr>
          </w:p>
        </w:tc>
        <w:tc>
          <w:tcPr>
            <w:tcW w:w="663" w:type="dxa"/>
            <w:shd w:val="clear" w:color="auto" w:fill="auto"/>
            <w:noWrap/>
            <w:vAlign w:val="bottom"/>
            <w:hideMark/>
          </w:tcPr>
          <w:p w14:paraId="119ABA12" w14:textId="77777777" w:rsidR="00BD4D02" w:rsidRPr="00BD4D02" w:rsidRDefault="00BD4D02" w:rsidP="00BD4D02">
            <w:pPr>
              <w:rPr>
                <w:sz w:val="20"/>
                <w:szCs w:val="20"/>
              </w:rPr>
            </w:pPr>
          </w:p>
        </w:tc>
        <w:tc>
          <w:tcPr>
            <w:tcW w:w="663" w:type="dxa"/>
            <w:shd w:val="clear" w:color="auto" w:fill="auto"/>
            <w:noWrap/>
            <w:vAlign w:val="bottom"/>
            <w:hideMark/>
          </w:tcPr>
          <w:p w14:paraId="77E0F7C9" w14:textId="77777777" w:rsidR="00BD4D02" w:rsidRPr="00BD4D02" w:rsidRDefault="00BD4D02" w:rsidP="00BD4D02">
            <w:pPr>
              <w:rPr>
                <w:sz w:val="20"/>
                <w:szCs w:val="20"/>
              </w:rPr>
            </w:pPr>
          </w:p>
        </w:tc>
        <w:tc>
          <w:tcPr>
            <w:tcW w:w="663" w:type="dxa"/>
            <w:shd w:val="clear" w:color="auto" w:fill="auto"/>
            <w:noWrap/>
            <w:vAlign w:val="bottom"/>
            <w:hideMark/>
          </w:tcPr>
          <w:p w14:paraId="0C8EE384" w14:textId="77777777" w:rsidR="00BD4D02" w:rsidRPr="00BD4D02" w:rsidRDefault="00BD4D02" w:rsidP="00BD4D02">
            <w:pPr>
              <w:rPr>
                <w:sz w:val="20"/>
                <w:szCs w:val="20"/>
              </w:rPr>
            </w:pPr>
          </w:p>
        </w:tc>
        <w:tc>
          <w:tcPr>
            <w:tcW w:w="663" w:type="dxa"/>
            <w:shd w:val="clear" w:color="auto" w:fill="auto"/>
            <w:noWrap/>
            <w:vAlign w:val="bottom"/>
            <w:hideMark/>
          </w:tcPr>
          <w:p w14:paraId="60BAFE6A" w14:textId="77777777" w:rsidR="00BD4D02" w:rsidRPr="00BD4D02" w:rsidRDefault="00BD4D02" w:rsidP="00BD4D02">
            <w:pPr>
              <w:rPr>
                <w:sz w:val="20"/>
                <w:szCs w:val="20"/>
              </w:rPr>
            </w:pPr>
          </w:p>
        </w:tc>
        <w:tc>
          <w:tcPr>
            <w:tcW w:w="663" w:type="dxa"/>
            <w:shd w:val="clear" w:color="auto" w:fill="auto"/>
            <w:noWrap/>
            <w:vAlign w:val="bottom"/>
            <w:hideMark/>
          </w:tcPr>
          <w:p w14:paraId="00BF22F2" w14:textId="77777777" w:rsidR="00BD4D02" w:rsidRPr="00BD4D02" w:rsidRDefault="00BD4D02" w:rsidP="00BD4D02">
            <w:pPr>
              <w:rPr>
                <w:sz w:val="20"/>
                <w:szCs w:val="20"/>
              </w:rPr>
            </w:pPr>
          </w:p>
        </w:tc>
        <w:tc>
          <w:tcPr>
            <w:tcW w:w="663" w:type="dxa"/>
            <w:shd w:val="clear" w:color="auto" w:fill="auto"/>
            <w:noWrap/>
            <w:vAlign w:val="bottom"/>
            <w:hideMark/>
          </w:tcPr>
          <w:p w14:paraId="3FAC49BF" w14:textId="77777777" w:rsidR="00BD4D02" w:rsidRPr="00BD4D02" w:rsidRDefault="00BD4D02" w:rsidP="00BD4D02">
            <w:pPr>
              <w:rPr>
                <w:sz w:val="20"/>
                <w:szCs w:val="20"/>
              </w:rPr>
            </w:pPr>
          </w:p>
        </w:tc>
        <w:tc>
          <w:tcPr>
            <w:tcW w:w="663" w:type="dxa"/>
            <w:shd w:val="clear" w:color="auto" w:fill="auto"/>
            <w:noWrap/>
            <w:vAlign w:val="bottom"/>
            <w:hideMark/>
          </w:tcPr>
          <w:p w14:paraId="4F960831" w14:textId="77777777" w:rsidR="00BD4D02" w:rsidRPr="00BD4D02" w:rsidRDefault="00BD4D02" w:rsidP="00BD4D02">
            <w:pPr>
              <w:rPr>
                <w:sz w:val="20"/>
                <w:szCs w:val="20"/>
              </w:rPr>
            </w:pPr>
          </w:p>
        </w:tc>
        <w:tc>
          <w:tcPr>
            <w:tcW w:w="1180" w:type="dxa"/>
            <w:shd w:val="clear" w:color="auto" w:fill="auto"/>
            <w:noWrap/>
            <w:vAlign w:val="bottom"/>
            <w:hideMark/>
          </w:tcPr>
          <w:p w14:paraId="49C5230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r>
      <w:tr w:rsidR="00BD4D02" w:rsidRPr="00BD4D02" w14:paraId="62F969CC" w14:textId="77777777" w:rsidTr="00050580">
        <w:trPr>
          <w:trHeight w:val="144"/>
        </w:trPr>
        <w:tc>
          <w:tcPr>
            <w:tcW w:w="4500" w:type="dxa"/>
            <w:shd w:val="clear" w:color="auto" w:fill="auto"/>
            <w:noWrap/>
            <w:vAlign w:val="bottom"/>
            <w:hideMark/>
          </w:tcPr>
          <w:p w14:paraId="734176F8" w14:textId="77777777" w:rsidR="00BD4D02" w:rsidRPr="00BD4D02" w:rsidRDefault="00BD4D02" w:rsidP="00BD4D02">
            <w:pPr>
              <w:ind w:firstLineChars="100" w:firstLine="201"/>
              <w:rPr>
                <w:rFonts w:ascii="Calibri" w:hAnsi="Calibri" w:cs="Calibri"/>
                <w:b/>
                <w:bCs/>
                <w:color w:val="000000"/>
                <w:sz w:val="20"/>
                <w:szCs w:val="20"/>
              </w:rPr>
            </w:pPr>
            <w:r w:rsidRPr="00BD4D02">
              <w:rPr>
                <w:rFonts w:ascii="Calibri" w:hAnsi="Calibri" w:cs="Calibri"/>
                <w:b/>
                <w:bCs/>
                <w:color w:val="000000"/>
                <w:sz w:val="20"/>
                <w:szCs w:val="20"/>
              </w:rPr>
              <w:t>Technology - use</w:t>
            </w:r>
          </w:p>
        </w:tc>
        <w:tc>
          <w:tcPr>
            <w:tcW w:w="770" w:type="dxa"/>
            <w:shd w:val="clear" w:color="auto" w:fill="auto"/>
            <w:noWrap/>
            <w:vAlign w:val="bottom"/>
            <w:hideMark/>
          </w:tcPr>
          <w:p w14:paraId="317E0526"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14</w:t>
            </w:r>
          </w:p>
        </w:tc>
        <w:tc>
          <w:tcPr>
            <w:tcW w:w="663" w:type="dxa"/>
            <w:shd w:val="clear" w:color="auto" w:fill="auto"/>
            <w:noWrap/>
            <w:vAlign w:val="bottom"/>
            <w:hideMark/>
          </w:tcPr>
          <w:p w14:paraId="4A9862CA"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16</w:t>
            </w:r>
          </w:p>
        </w:tc>
        <w:tc>
          <w:tcPr>
            <w:tcW w:w="663" w:type="dxa"/>
            <w:shd w:val="clear" w:color="auto" w:fill="auto"/>
            <w:noWrap/>
            <w:vAlign w:val="bottom"/>
            <w:hideMark/>
          </w:tcPr>
          <w:p w14:paraId="5312AD02"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15</w:t>
            </w:r>
          </w:p>
        </w:tc>
        <w:tc>
          <w:tcPr>
            <w:tcW w:w="663" w:type="dxa"/>
            <w:shd w:val="clear" w:color="auto" w:fill="auto"/>
            <w:noWrap/>
            <w:vAlign w:val="bottom"/>
            <w:hideMark/>
          </w:tcPr>
          <w:p w14:paraId="0E840676"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19</w:t>
            </w:r>
          </w:p>
        </w:tc>
        <w:tc>
          <w:tcPr>
            <w:tcW w:w="663" w:type="dxa"/>
            <w:shd w:val="clear" w:color="auto" w:fill="auto"/>
            <w:noWrap/>
            <w:vAlign w:val="bottom"/>
            <w:hideMark/>
          </w:tcPr>
          <w:p w14:paraId="79F8A372"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26</w:t>
            </w:r>
          </w:p>
        </w:tc>
        <w:tc>
          <w:tcPr>
            <w:tcW w:w="663" w:type="dxa"/>
            <w:shd w:val="clear" w:color="auto" w:fill="auto"/>
            <w:noWrap/>
            <w:vAlign w:val="bottom"/>
            <w:hideMark/>
          </w:tcPr>
          <w:p w14:paraId="52A350A9"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7</w:t>
            </w:r>
          </w:p>
        </w:tc>
        <w:tc>
          <w:tcPr>
            <w:tcW w:w="663" w:type="dxa"/>
            <w:shd w:val="clear" w:color="auto" w:fill="auto"/>
            <w:noWrap/>
            <w:vAlign w:val="bottom"/>
            <w:hideMark/>
          </w:tcPr>
          <w:p w14:paraId="5E5A5429"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10</w:t>
            </w:r>
          </w:p>
        </w:tc>
        <w:tc>
          <w:tcPr>
            <w:tcW w:w="663" w:type="dxa"/>
            <w:shd w:val="clear" w:color="auto" w:fill="auto"/>
            <w:noWrap/>
            <w:vAlign w:val="bottom"/>
            <w:hideMark/>
          </w:tcPr>
          <w:p w14:paraId="4A5B90E5"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7</w:t>
            </w:r>
          </w:p>
        </w:tc>
        <w:tc>
          <w:tcPr>
            <w:tcW w:w="663" w:type="dxa"/>
            <w:shd w:val="clear" w:color="auto" w:fill="auto"/>
            <w:noWrap/>
            <w:vAlign w:val="bottom"/>
            <w:hideMark/>
          </w:tcPr>
          <w:p w14:paraId="35D27F87"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7</w:t>
            </w:r>
          </w:p>
        </w:tc>
        <w:tc>
          <w:tcPr>
            <w:tcW w:w="663" w:type="dxa"/>
            <w:shd w:val="clear" w:color="auto" w:fill="auto"/>
            <w:noWrap/>
            <w:vAlign w:val="bottom"/>
            <w:hideMark/>
          </w:tcPr>
          <w:p w14:paraId="67732BD1"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8</w:t>
            </w:r>
          </w:p>
        </w:tc>
        <w:tc>
          <w:tcPr>
            <w:tcW w:w="663" w:type="dxa"/>
            <w:shd w:val="clear" w:color="auto" w:fill="auto"/>
            <w:noWrap/>
            <w:vAlign w:val="bottom"/>
            <w:hideMark/>
          </w:tcPr>
          <w:p w14:paraId="4864DF98"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3</w:t>
            </w:r>
          </w:p>
        </w:tc>
        <w:tc>
          <w:tcPr>
            <w:tcW w:w="663" w:type="dxa"/>
            <w:shd w:val="clear" w:color="auto" w:fill="auto"/>
            <w:noWrap/>
            <w:vAlign w:val="bottom"/>
            <w:hideMark/>
          </w:tcPr>
          <w:p w14:paraId="60E2AEEC"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2</w:t>
            </w:r>
          </w:p>
        </w:tc>
        <w:tc>
          <w:tcPr>
            <w:tcW w:w="1180" w:type="dxa"/>
            <w:shd w:val="clear" w:color="auto" w:fill="auto"/>
            <w:noWrap/>
            <w:vAlign w:val="bottom"/>
            <w:hideMark/>
          </w:tcPr>
          <w:p w14:paraId="735D725E"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134</w:t>
            </w:r>
          </w:p>
        </w:tc>
      </w:tr>
      <w:tr w:rsidR="00BD4D02" w:rsidRPr="00BD4D02" w14:paraId="5FE31BDD" w14:textId="77777777" w:rsidTr="00050580">
        <w:trPr>
          <w:trHeight w:val="144"/>
        </w:trPr>
        <w:tc>
          <w:tcPr>
            <w:tcW w:w="4500" w:type="dxa"/>
            <w:shd w:val="clear" w:color="auto" w:fill="auto"/>
            <w:noWrap/>
            <w:vAlign w:val="bottom"/>
            <w:hideMark/>
          </w:tcPr>
          <w:p w14:paraId="155C9572"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Audio - streaming</w:t>
            </w:r>
          </w:p>
        </w:tc>
        <w:tc>
          <w:tcPr>
            <w:tcW w:w="770" w:type="dxa"/>
            <w:shd w:val="clear" w:color="auto" w:fill="auto"/>
            <w:noWrap/>
            <w:vAlign w:val="bottom"/>
            <w:hideMark/>
          </w:tcPr>
          <w:p w14:paraId="1BDE0431"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2F53941C" w14:textId="77777777" w:rsidR="00BD4D02" w:rsidRPr="00BD4D02" w:rsidRDefault="00BD4D02" w:rsidP="00BD4D02">
            <w:pPr>
              <w:rPr>
                <w:sz w:val="20"/>
                <w:szCs w:val="20"/>
              </w:rPr>
            </w:pPr>
          </w:p>
        </w:tc>
        <w:tc>
          <w:tcPr>
            <w:tcW w:w="663" w:type="dxa"/>
            <w:shd w:val="clear" w:color="auto" w:fill="auto"/>
            <w:noWrap/>
            <w:vAlign w:val="bottom"/>
            <w:hideMark/>
          </w:tcPr>
          <w:p w14:paraId="3465B483" w14:textId="77777777" w:rsidR="00BD4D02" w:rsidRPr="00BD4D02" w:rsidRDefault="00BD4D02" w:rsidP="00BD4D02">
            <w:pPr>
              <w:rPr>
                <w:sz w:val="20"/>
                <w:szCs w:val="20"/>
              </w:rPr>
            </w:pPr>
          </w:p>
        </w:tc>
        <w:tc>
          <w:tcPr>
            <w:tcW w:w="663" w:type="dxa"/>
            <w:shd w:val="clear" w:color="auto" w:fill="auto"/>
            <w:noWrap/>
            <w:vAlign w:val="bottom"/>
            <w:hideMark/>
          </w:tcPr>
          <w:p w14:paraId="3CCAE43A" w14:textId="77777777" w:rsidR="00BD4D02" w:rsidRPr="00BD4D02" w:rsidRDefault="00BD4D02" w:rsidP="00BD4D02">
            <w:pPr>
              <w:rPr>
                <w:sz w:val="20"/>
                <w:szCs w:val="20"/>
              </w:rPr>
            </w:pPr>
          </w:p>
        </w:tc>
        <w:tc>
          <w:tcPr>
            <w:tcW w:w="663" w:type="dxa"/>
            <w:shd w:val="clear" w:color="auto" w:fill="auto"/>
            <w:noWrap/>
            <w:vAlign w:val="bottom"/>
            <w:hideMark/>
          </w:tcPr>
          <w:p w14:paraId="4EA2485B"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42BEA93E"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276F95BA" w14:textId="77777777" w:rsidR="00BD4D02" w:rsidRPr="00BD4D02" w:rsidRDefault="00BD4D02" w:rsidP="00BD4D02">
            <w:pPr>
              <w:rPr>
                <w:sz w:val="20"/>
                <w:szCs w:val="20"/>
              </w:rPr>
            </w:pPr>
          </w:p>
        </w:tc>
        <w:tc>
          <w:tcPr>
            <w:tcW w:w="663" w:type="dxa"/>
            <w:shd w:val="clear" w:color="auto" w:fill="auto"/>
            <w:noWrap/>
            <w:vAlign w:val="bottom"/>
            <w:hideMark/>
          </w:tcPr>
          <w:p w14:paraId="7ECFD11D" w14:textId="77777777" w:rsidR="00BD4D02" w:rsidRPr="00BD4D02" w:rsidRDefault="00BD4D02" w:rsidP="00BD4D02">
            <w:pPr>
              <w:rPr>
                <w:sz w:val="20"/>
                <w:szCs w:val="20"/>
              </w:rPr>
            </w:pPr>
          </w:p>
        </w:tc>
        <w:tc>
          <w:tcPr>
            <w:tcW w:w="663" w:type="dxa"/>
            <w:shd w:val="clear" w:color="auto" w:fill="auto"/>
            <w:noWrap/>
            <w:vAlign w:val="bottom"/>
            <w:hideMark/>
          </w:tcPr>
          <w:p w14:paraId="05964FDB" w14:textId="77777777" w:rsidR="00BD4D02" w:rsidRPr="00BD4D02" w:rsidRDefault="00BD4D02" w:rsidP="00BD4D02">
            <w:pPr>
              <w:rPr>
                <w:sz w:val="20"/>
                <w:szCs w:val="20"/>
              </w:rPr>
            </w:pPr>
          </w:p>
        </w:tc>
        <w:tc>
          <w:tcPr>
            <w:tcW w:w="663" w:type="dxa"/>
            <w:shd w:val="clear" w:color="auto" w:fill="auto"/>
            <w:noWrap/>
            <w:vAlign w:val="bottom"/>
            <w:hideMark/>
          </w:tcPr>
          <w:p w14:paraId="72824405" w14:textId="77777777" w:rsidR="00BD4D02" w:rsidRPr="00BD4D02" w:rsidRDefault="00BD4D02" w:rsidP="00BD4D02">
            <w:pPr>
              <w:rPr>
                <w:sz w:val="20"/>
                <w:szCs w:val="20"/>
              </w:rPr>
            </w:pPr>
          </w:p>
        </w:tc>
        <w:tc>
          <w:tcPr>
            <w:tcW w:w="663" w:type="dxa"/>
            <w:shd w:val="clear" w:color="auto" w:fill="auto"/>
            <w:noWrap/>
            <w:vAlign w:val="bottom"/>
            <w:hideMark/>
          </w:tcPr>
          <w:p w14:paraId="0A786E41" w14:textId="77777777" w:rsidR="00BD4D02" w:rsidRPr="00BD4D02" w:rsidRDefault="00BD4D02" w:rsidP="00BD4D02">
            <w:pPr>
              <w:rPr>
                <w:sz w:val="20"/>
                <w:szCs w:val="20"/>
              </w:rPr>
            </w:pPr>
          </w:p>
        </w:tc>
        <w:tc>
          <w:tcPr>
            <w:tcW w:w="663" w:type="dxa"/>
            <w:shd w:val="clear" w:color="auto" w:fill="auto"/>
            <w:noWrap/>
            <w:vAlign w:val="bottom"/>
            <w:hideMark/>
          </w:tcPr>
          <w:p w14:paraId="492A5F99" w14:textId="77777777" w:rsidR="00BD4D02" w:rsidRPr="00BD4D02" w:rsidRDefault="00BD4D02" w:rsidP="00BD4D02">
            <w:pPr>
              <w:rPr>
                <w:sz w:val="20"/>
                <w:szCs w:val="20"/>
              </w:rPr>
            </w:pPr>
          </w:p>
        </w:tc>
        <w:tc>
          <w:tcPr>
            <w:tcW w:w="1180" w:type="dxa"/>
            <w:shd w:val="clear" w:color="auto" w:fill="auto"/>
            <w:noWrap/>
            <w:vAlign w:val="bottom"/>
            <w:hideMark/>
          </w:tcPr>
          <w:p w14:paraId="79A23BF5"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08E72ADA" w14:textId="77777777" w:rsidTr="00050580">
        <w:trPr>
          <w:trHeight w:val="144"/>
        </w:trPr>
        <w:tc>
          <w:tcPr>
            <w:tcW w:w="4500" w:type="dxa"/>
            <w:shd w:val="clear" w:color="auto" w:fill="auto"/>
            <w:noWrap/>
            <w:vAlign w:val="bottom"/>
            <w:hideMark/>
          </w:tcPr>
          <w:p w14:paraId="26B0E2D9"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Canadian adopters - time</w:t>
            </w:r>
          </w:p>
        </w:tc>
        <w:tc>
          <w:tcPr>
            <w:tcW w:w="770" w:type="dxa"/>
            <w:shd w:val="clear" w:color="auto" w:fill="auto"/>
            <w:noWrap/>
            <w:vAlign w:val="bottom"/>
            <w:hideMark/>
          </w:tcPr>
          <w:p w14:paraId="6AFB7872"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4C48908B"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16DE0A54"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5F3EE638"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0B12EAE8"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6FCA83B8" w14:textId="77777777" w:rsidR="00BD4D02" w:rsidRPr="00BD4D02" w:rsidRDefault="00BD4D02" w:rsidP="00BD4D02">
            <w:pPr>
              <w:rPr>
                <w:sz w:val="20"/>
                <w:szCs w:val="20"/>
              </w:rPr>
            </w:pPr>
          </w:p>
        </w:tc>
        <w:tc>
          <w:tcPr>
            <w:tcW w:w="663" w:type="dxa"/>
            <w:shd w:val="clear" w:color="auto" w:fill="auto"/>
            <w:noWrap/>
            <w:vAlign w:val="bottom"/>
            <w:hideMark/>
          </w:tcPr>
          <w:p w14:paraId="472C27F3" w14:textId="77777777" w:rsidR="00BD4D02" w:rsidRPr="00BD4D02" w:rsidRDefault="00BD4D02" w:rsidP="00BD4D02">
            <w:pPr>
              <w:rPr>
                <w:sz w:val="20"/>
                <w:szCs w:val="20"/>
              </w:rPr>
            </w:pPr>
          </w:p>
        </w:tc>
        <w:tc>
          <w:tcPr>
            <w:tcW w:w="663" w:type="dxa"/>
            <w:shd w:val="clear" w:color="auto" w:fill="auto"/>
            <w:noWrap/>
            <w:vAlign w:val="bottom"/>
            <w:hideMark/>
          </w:tcPr>
          <w:p w14:paraId="040563BB" w14:textId="77777777" w:rsidR="00BD4D02" w:rsidRPr="00BD4D02" w:rsidRDefault="00BD4D02" w:rsidP="00BD4D02">
            <w:pPr>
              <w:rPr>
                <w:sz w:val="20"/>
                <w:szCs w:val="20"/>
              </w:rPr>
            </w:pPr>
          </w:p>
        </w:tc>
        <w:tc>
          <w:tcPr>
            <w:tcW w:w="663" w:type="dxa"/>
            <w:shd w:val="clear" w:color="auto" w:fill="auto"/>
            <w:noWrap/>
            <w:vAlign w:val="bottom"/>
            <w:hideMark/>
          </w:tcPr>
          <w:p w14:paraId="5DCFB73A" w14:textId="77777777" w:rsidR="00BD4D02" w:rsidRPr="00BD4D02" w:rsidRDefault="00BD4D02" w:rsidP="00BD4D02">
            <w:pPr>
              <w:rPr>
                <w:sz w:val="20"/>
                <w:szCs w:val="20"/>
              </w:rPr>
            </w:pPr>
          </w:p>
        </w:tc>
        <w:tc>
          <w:tcPr>
            <w:tcW w:w="663" w:type="dxa"/>
            <w:shd w:val="clear" w:color="auto" w:fill="auto"/>
            <w:noWrap/>
            <w:vAlign w:val="bottom"/>
            <w:hideMark/>
          </w:tcPr>
          <w:p w14:paraId="04B5120D" w14:textId="77777777" w:rsidR="00BD4D02" w:rsidRPr="00BD4D02" w:rsidRDefault="00BD4D02" w:rsidP="00BD4D02">
            <w:pPr>
              <w:rPr>
                <w:sz w:val="20"/>
                <w:szCs w:val="20"/>
              </w:rPr>
            </w:pPr>
          </w:p>
        </w:tc>
        <w:tc>
          <w:tcPr>
            <w:tcW w:w="663" w:type="dxa"/>
            <w:shd w:val="clear" w:color="auto" w:fill="auto"/>
            <w:noWrap/>
            <w:vAlign w:val="bottom"/>
            <w:hideMark/>
          </w:tcPr>
          <w:p w14:paraId="3182385E" w14:textId="77777777" w:rsidR="00BD4D02" w:rsidRPr="00BD4D02" w:rsidRDefault="00BD4D02" w:rsidP="00BD4D02">
            <w:pPr>
              <w:rPr>
                <w:sz w:val="20"/>
                <w:szCs w:val="20"/>
              </w:rPr>
            </w:pPr>
          </w:p>
        </w:tc>
        <w:tc>
          <w:tcPr>
            <w:tcW w:w="663" w:type="dxa"/>
            <w:shd w:val="clear" w:color="auto" w:fill="auto"/>
            <w:noWrap/>
            <w:vAlign w:val="bottom"/>
            <w:hideMark/>
          </w:tcPr>
          <w:p w14:paraId="6BB9381A" w14:textId="77777777" w:rsidR="00BD4D02" w:rsidRPr="00BD4D02" w:rsidRDefault="00BD4D02" w:rsidP="00BD4D02">
            <w:pPr>
              <w:rPr>
                <w:sz w:val="20"/>
                <w:szCs w:val="20"/>
              </w:rPr>
            </w:pPr>
          </w:p>
        </w:tc>
        <w:tc>
          <w:tcPr>
            <w:tcW w:w="1180" w:type="dxa"/>
            <w:shd w:val="clear" w:color="auto" w:fill="auto"/>
            <w:noWrap/>
            <w:vAlign w:val="bottom"/>
            <w:hideMark/>
          </w:tcPr>
          <w:p w14:paraId="3BAA2200"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4</w:t>
            </w:r>
          </w:p>
        </w:tc>
      </w:tr>
      <w:tr w:rsidR="00BD4D02" w:rsidRPr="00BD4D02" w14:paraId="1F5661A8" w14:textId="77777777" w:rsidTr="00050580">
        <w:trPr>
          <w:trHeight w:val="144"/>
        </w:trPr>
        <w:tc>
          <w:tcPr>
            <w:tcW w:w="4500" w:type="dxa"/>
            <w:shd w:val="clear" w:color="auto" w:fill="auto"/>
            <w:noWrap/>
            <w:vAlign w:val="bottom"/>
            <w:hideMark/>
          </w:tcPr>
          <w:p w14:paraId="2763A04C"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Content - podcasts</w:t>
            </w:r>
          </w:p>
        </w:tc>
        <w:tc>
          <w:tcPr>
            <w:tcW w:w="770" w:type="dxa"/>
            <w:shd w:val="clear" w:color="auto" w:fill="auto"/>
            <w:noWrap/>
            <w:vAlign w:val="bottom"/>
            <w:hideMark/>
          </w:tcPr>
          <w:p w14:paraId="340958CE"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65A09E77"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5DEC2DF2"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48AB7A46"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757EB5B4"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190DB846"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3E630EE6" w14:textId="77777777" w:rsidR="00BD4D02" w:rsidRPr="00BD4D02" w:rsidRDefault="00BD4D02" w:rsidP="00BD4D02">
            <w:pPr>
              <w:rPr>
                <w:sz w:val="20"/>
                <w:szCs w:val="20"/>
              </w:rPr>
            </w:pPr>
          </w:p>
        </w:tc>
        <w:tc>
          <w:tcPr>
            <w:tcW w:w="663" w:type="dxa"/>
            <w:shd w:val="clear" w:color="auto" w:fill="auto"/>
            <w:noWrap/>
            <w:vAlign w:val="bottom"/>
            <w:hideMark/>
          </w:tcPr>
          <w:p w14:paraId="793F739B" w14:textId="77777777" w:rsidR="00BD4D02" w:rsidRPr="00BD4D02" w:rsidRDefault="00BD4D02" w:rsidP="00BD4D02">
            <w:pPr>
              <w:rPr>
                <w:sz w:val="20"/>
                <w:szCs w:val="20"/>
              </w:rPr>
            </w:pPr>
          </w:p>
        </w:tc>
        <w:tc>
          <w:tcPr>
            <w:tcW w:w="663" w:type="dxa"/>
            <w:shd w:val="clear" w:color="auto" w:fill="auto"/>
            <w:noWrap/>
            <w:vAlign w:val="bottom"/>
            <w:hideMark/>
          </w:tcPr>
          <w:p w14:paraId="1242EA49" w14:textId="77777777" w:rsidR="00BD4D02" w:rsidRPr="00BD4D02" w:rsidRDefault="00BD4D02" w:rsidP="00BD4D02">
            <w:pPr>
              <w:rPr>
                <w:sz w:val="20"/>
                <w:szCs w:val="20"/>
              </w:rPr>
            </w:pPr>
          </w:p>
        </w:tc>
        <w:tc>
          <w:tcPr>
            <w:tcW w:w="663" w:type="dxa"/>
            <w:shd w:val="clear" w:color="auto" w:fill="auto"/>
            <w:noWrap/>
            <w:vAlign w:val="bottom"/>
            <w:hideMark/>
          </w:tcPr>
          <w:p w14:paraId="2C22B86E" w14:textId="77777777" w:rsidR="00BD4D02" w:rsidRPr="00BD4D02" w:rsidRDefault="00BD4D02" w:rsidP="00BD4D02">
            <w:pPr>
              <w:rPr>
                <w:sz w:val="20"/>
                <w:szCs w:val="20"/>
              </w:rPr>
            </w:pPr>
          </w:p>
        </w:tc>
        <w:tc>
          <w:tcPr>
            <w:tcW w:w="663" w:type="dxa"/>
            <w:shd w:val="clear" w:color="auto" w:fill="auto"/>
            <w:noWrap/>
            <w:vAlign w:val="bottom"/>
            <w:hideMark/>
          </w:tcPr>
          <w:p w14:paraId="4B0A197E" w14:textId="77777777" w:rsidR="00BD4D02" w:rsidRPr="00BD4D02" w:rsidRDefault="00BD4D02" w:rsidP="00BD4D02">
            <w:pPr>
              <w:rPr>
                <w:sz w:val="20"/>
                <w:szCs w:val="20"/>
              </w:rPr>
            </w:pPr>
          </w:p>
        </w:tc>
        <w:tc>
          <w:tcPr>
            <w:tcW w:w="663" w:type="dxa"/>
            <w:shd w:val="clear" w:color="auto" w:fill="auto"/>
            <w:noWrap/>
            <w:vAlign w:val="bottom"/>
            <w:hideMark/>
          </w:tcPr>
          <w:p w14:paraId="5D80E631" w14:textId="77777777" w:rsidR="00BD4D02" w:rsidRPr="00BD4D02" w:rsidRDefault="00BD4D02" w:rsidP="00BD4D02">
            <w:pPr>
              <w:rPr>
                <w:sz w:val="20"/>
                <w:szCs w:val="20"/>
              </w:rPr>
            </w:pPr>
          </w:p>
        </w:tc>
        <w:tc>
          <w:tcPr>
            <w:tcW w:w="1180" w:type="dxa"/>
            <w:shd w:val="clear" w:color="auto" w:fill="auto"/>
            <w:noWrap/>
            <w:vAlign w:val="bottom"/>
            <w:hideMark/>
          </w:tcPr>
          <w:p w14:paraId="350BC376"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5</w:t>
            </w:r>
          </w:p>
        </w:tc>
      </w:tr>
      <w:tr w:rsidR="00BD4D02" w:rsidRPr="00BD4D02" w14:paraId="167A0F4F" w14:textId="77777777" w:rsidTr="00050580">
        <w:trPr>
          <w:trHeight w:val="144"/>
        </w:trPr>
        <w:tc>
          <w:tcPr>
            <w:tcW w:w="4500" w:type="dxa"/>
            <w:shd w:val="clear" w:color="auto" w:fill="auto"/>
            <w:noWrap/>
            <w:vAlign w:val="bottom"/>
            <w:hideMark/>
          </w:tcPr>
          <w:p w14:paraId="4FED3110"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Devices - mobile</w:t>
            </w:r>
          </w:p>
        </w:tc>
        <w:tc>
          <w:tcPr>
            <w:tcW w:w="770" w:type="dxa"/>
            <w:shd w:val="clear" w:color="auto" w:fill="auto"/>
            <w:noWrap/>
            <w:vAlign w:val="bottom"/>
            <w:hideMark/>
          </w:tcPr>
          <w:p w14:paraId="59801425"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2191A769" w14:textId="77777777" w:rsidR="00BD4D02" w:rsidRPr="00BD4D02" w:rsidRDefault="00BD4D02" w:rsidP="00BD4D02">
            <w:pPr>
              <w:rPr>
                <w:sz w:val="20"/>
                <w:szCs w:val="20"/>
              </w:rPr>
            </w:pPr>
          </w:p>
        </w:tc>
        <w:tc>
          <w:tcPr>
            <w:tcW w:w="663" w:type="dxa"/>
            <w:shd w:val="clear" w:color="auto" w:fill="auto"/>
            <w:noWrap/>
            <w:vAlign w:val="bottom"/>
            <w:hideMark/>
          </w:tcPr>
          <w:p w14:paraId="6BD0240F" w14:textId="77777777" w:rsidR="00BD4D02" w:rsidRPr="00BD4D02" w:rsidRDefault="00BD4D02" w:rsidP="00BD4D02">
            <w:pPr>
              <w:rPr>
                <w:sz w:val="20"/>
                <w:szCs w:val="20"/>
              </w:rPr>
            </w:pPr>
          </w:p>
        </w:tc>
        <w:tc>
          <w:tcPr>
            <w:tcW w:w="663" w:type="dxa"/>
            <w:shd w:val="clear" w:color="auto" w:fill="auto"/>
            <w:noWrap/>
            <w:vAlign w:val="bottom"/>
            <w:hideMark/>
          </w:tcPr>
          <w:p w14:paraId="2B044724" w14:textId="77777777" w:rsidR="00BD4D02" w:rsidRPr="00BD4D02" w:rsidRDefault="00BD4D02" w:rsidP="00BD4D02">
            <w:pPr>
              <w:rPr>
                <w:sz w:val="20"/>
                <w:szCs w:val="20"/>
              </w:rPr>
            </w:pPr>
          </w:p>
        </w:tc>
        <w:tc>
          <w:tcPr>
            <w:tcW w:w="663" w:type="dxa"/>
            <w:shd w:val="clear" w:color="auto" w:fill="auto"/>
            <w:noWrap/>
            <w:vAlign w:val="bottom"/>
            <w:hideMark/>
          </w:tcPr>
          <w:p w14:paraId="5E29F4F0"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w:t>
            </w:r>
          </w:p>
        </w:tc>
        <w:tc>
          <w:tcPr>
            <w:tcW w:w="663" w:type="dxa"/>
            <w:shd w:val="clear" w:color="auto" w:fill="auto"/>
            <w:noWrap/>
            <w:vAlign w:val="bottom"/>
            <w:hideMark/>
          </w:tcPr>
          <w:p w14:paraId="0AA67242"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2E7A0400" w14:textId="77777777" w:rsidR="00BD4D02" w:rsidRPr="00BD4D02" w:rsidRDefault="00BD4D02" w:rsidP="00BD4D02">
            <w:pPr>
              <w:rPr>
                <w:sz w:val="20"/>
                <w:szCs w:val="20"/>
              </w:rPr>
            </w:pPr>
          </w:p>
        </w:tc>
        <w:tc>
          <w:tcPr>
            <w:tcW w:w="663" w:type="dxa"/>
            <w:shd w:val="clear" w:color="auto" w:fill="auto"/>
            <w:noWrap/>
            <w:vAlign w:val="bottom"/>
            <w:hideMark/>
          </w:tcPr>
          <w:p w14:paraId="19F84C6B" w14:textId="77777777" w:rsidR="00BD4D02" w:rsidRPr="00BD4D02" w:rsidRDefault="00BD4D02" w:rsidP="00BD4D02">
            <w:pPr>
              <w:rPr>
                <w:sz w:val="20"/>
                <w:szCs w:val="20"/>
              </w:rPr>
            </w:pPr>
          </w:p>
        </w:tc>
        <w:tc>
          <w:tcPr>
            <w:tcW w:w="663" w:type="dxa"/>
            <w:shd w:val="clear" w:color="auto" w:fill="auto"/>
            <w:noWrap/>
            <w:vAlign w:val="bottom"/>
            <w:hideMark/>
          </w:tcPr>
          <w:p w14:paraId="6598653C" w14:textId="77777777" w:rsidR="00BD4D02" w:rsidRPr="00BD4D02" w:rsidRDefault="00BD4D02" w:rsidP="00BD4D02">
            <w:pPr>
              <w:rPr>
                <w:sz w:val="20"/>
                <w:szCs w:val="20"/>
              </w:rPr>
            </w:pPr>
          </w:p>
        </w:tc>
        <w:tc>
          <w:tcPr>
            <w:tcW w:w="663" w:type="dxa"/>
            <w:shd w:val="clear" w:color="auto" w:fill="auto"/>
            <w:noWrap/>
            <w:vAlign w:val="bottom"/>
            <w:hideMark/>
          </w:tcPr>
          <w:p w14:paraId="227089C3" w14:textId="77777777" w:rsidR="00BD4D02" w:rsidRPr="00BD4D02" w:rsidRDefault="00BD4D02" w:rsidP="00BD4D02">
            <w:pPr>
              <w:rPr>
                <w:sz w:val="20"/>
                <w:szCs w:val="20"/>
              </w:rPr>
            </w:pPr>
          </w:p>
        </w:tc>
        <w:tc>
          <w:tcPr>
            <w:tcW w:w="663" w:type="dxa"/>
            <w:shd w:val="clear" w:color="auto" w:fill="auto"/>
            <w:noWrap/>
            <w:vAlign w:val="bottom"/>
            <w:hideMark/>
          </w:tcPr>
          <w:p w14:paraId="5261C4F2" w14:textId="77777777" w:rsidR="00BD4D02" w:rsidRPr="00BD4D02" w:rsidRDefault="00BD4D02" w:rsidP="00BD4D02">
            <w:pPr>
              <w:rPr>
                <w:sz w:val="20"/>
                <w:szCs w:val="20"/>
              </w:rPr>
            </w:pPr>
          </w:p>
        </w:tc>
        <w:tc>
          <w:tcPr>
            <w:tcW w:w="663" w:type="dxa"/>
            <w:shd w:val="clear" w:color="auto" w:fill="auto"/>
            <w:noWrap/>
            <w:vAlign w:val="bottom"/>
            <w:hideMark/>
          </w:tcPr>
          <w:p w14:paraId="0BCD6038" w14:textId="77777777" w:rsidR="00BD4D02" w:rsidRPr="00BD4D02" w:rsidRDefault="00BD4D02" w:rsidP="00BD4D02">
            <w:pPr>
              <w:rPr>
                <w:sz w:val="20"/>
                <w:szCs w:val="20"/>
              </w:rPr>
            </w:pPr>
          </w:p>
        </w:tc>
        <w:tc>
          <w:tcPr>
            <w:tcW w:w="1180" w:type="dxa"/>
            <w:shd w:val="clear" w:color="auto" w:fill="auto"/>
            <w:noWrap/>
            <w:vAlign w:val="bottom"/>
            <w:hideMark/>
          </w:tcPr>
          <w:p w14:paraId="60F0F1D3"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w:t>
            </w:r>
          </w:p>
        </w:tc>
      </w:tr>
      <w:tr w:rsidR="00BD4D02" w:rsidRPr="00BD4D02" w14:paraId="00716327" w14:textId="77777777" w:rsidTr="00050580">
        <w:trPr>
          <w:trHeight w:val="144"/>
        </w:trPr>
        <w:tc>
          <w:tcPr>
            <w:tcW w:w="4500" w:type="dxa"/>
            <w:shd w:val="clear" w:color="auto" w:fill="auto"/>
            <w:noWrap/>
            <w:vAlign w:val="bottom"/>
            <w:hideMark/>
          </w:tcPr>
          <w:p w14:paraId="63AA1380"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Households - BDUs</w:t>
            </w:r>
          </w:p>
        </w:tc>
        <w:tc>
          <w:tcPr>
            <w:tcW w:w="770" w:type="dxa"/>
            <w:shd w:val="clear" w:color="auto" w:fill="auto"/>
            <w:noWrap/>
            <w:vAlign w:val="bottom"/>
            <w:hideMark/>
          </w:tcPr>
          <w:p w14:paraId="0EBB127C"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39C0D1A0" w14:textId="77777777" w:rsidR="00BD4D02" w:rsidRPr="00BD4D02" w:rsidRDefault="00BD4D02" w:rsidP="00BD4D02">
            <w:pPr>
              <w:rPr>
                <w:sz w:val="20"/>
                <w:szCs w:val="20"/>
              </w:rPr>
            </w:pPr>
          </w:p>
        </w:tc>
        <w:tc>
          <w:tcPr>
            <w:tcW w:w="663" w:type="dxa"/>
            <w:shd w:val="clear" w:color="auto" w:fill="auto"/>
            <w:noWrap/>
            <w:vAlign w:val="bottom"/>
            <w:hideMark/>
          </w:tcPr>
          <w:p w14:paraId="3536B1E8" w14:textId="77777777" w:rsidR="00BD4D02" w:rsidRPr="00BD4D02" w:rsidRDefault="00BD4D02" w:rsidP="00BD4D02">
            <w:pPr>
              <w:rPr>
                <w:sz w:val="20"/>
                <w:szCs w:val="20"/>
              </w:rPr>
            </w:pPr>
          </w:p>
        </w:tc>
        <w:tc>
          <w:tcPr>
            <w:tcW w:w="663" w:type="dxa"/>
            <w:shd w:val="clear" w:color="auto" w:fill="auto"/>
            <w:noWrap/>
            <w:vAlign w:val="bottom"/>
            <w:hideMark/>
          </w:tcPr>
          <w:p w14:paraId="0E53CF66" w14:textId="77777777" w:rsidR="00BD4D02" w:rsidRPr="00BD4D02" w:rsidRDefault="00BD4D02" w:rsidP="00BD4D02">
            <w:pPr>
              <w:rPr>
                <w:sz w:val="20"/>
                <w:szCs w:val="20"/>
              </w:rPr>
            </w:pPr>
          </w:p>
        </w:tc>
        <w:tc>
          <w:tcPr>
            <w:tcW w:w="663" w:type="dxa"/>
            <w:shd w:val="clear" w:color="auto" w:fill="auto"/>
            <w:noWrap/>
            <w:vAlign w:val="bottom"/>
            <w:hideMark/>
          </w:tcPr>
          <w:p w14:paraId="404845C9" w14:textId="77777777" w:rsidR="00BD4D02" w:rsidRPr="00BD4D02" w:rsidRDefault="00BD4D02" w:rsidP="00BD4D02">
            <w:pPr>
              <w:rPr>
                <w:sz w:val="20"/>
                <w:szCs w:val="20"/>
              </w:rPr>
            </w:pPr>
          </w:p>
        </w:tc>
        <w:tc>
          <w:tcPr>
            <w:tcW w:w="663" w:type="dxa"/>
            <w:shd w:val="clear" w:color="auto" w:fill="auto"/>
            <w:noWrap/>
            <w:vAlign w:val="bottom"/>
            <w:hideMark/>
          </w:tcPr>
          <w:p w14:paraId="2FA9FFAB" w14:textId="77777777" w:rsidR="00BD4D02" w:rsidRPr="00BD4D02" w:rsidRDefault="00BD4D02" w:rsidP="00BD4D02">
            <w:pPr>
              <w:rPr>
                <w:sz w:val="20"/>
                <w:szCs w:val="20"/>
              </w:rPr>
            </w:pPr>
          </w:p>
        </w:tc>
        <w:tc>
          <w:tcPr>
            <w:tcW w:w="663" w:type="dxa"/>
            <w:shd w:val="clear" w:color="auto" w:fill="auto"/>
            <w:noWrap/>
            <w:vAlign w:val="bottom"/>
            <w:hideMark/>
          </w:tcPr>
          <w:p w14:paraId="27C2202F"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5D59757A"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4BFCB152"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382B7520"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76391A66"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07B6A9BA" w14:textId="77777777" w:rsidR="00BD4D02" w:rsidRPr="00BD4D02" w:rsidRDefault="00BD4D02" w:rsidP="00BD4D02">
            <w:pPr>
              <w:rPr>
                <w:sz w:val="20"/>
                <w:szCs w:val="20"/>
              </w:rPr>
            </w:pPr>
          </w:p>
        </w:tc>
        <w:tc>
          <w:tcPr>
            <w:tcW w:w="1180" w:type="dxa"/>
            <w:shd w:val="clear" w:color="auto" w:fill="auto"/>
            <w:noWrap/>
            <w:vAlign w:val="bottom"/>
            <w:hideMark/>
          </w:tcPr>
          <w:p w14:paraId="059A02FD"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4</w:t>
            </w:r>
          </w:p>
        </w:tc>
      </w:tr>
      <w:tr w:rsidR="00BD4D02" w:rsidRPr="00BD4D02" w14:paraId="09B5DA21" w14:textId="77777777" w:rsidTr="00050580">
        <w:trPr>
          <w:trHeight w:val="144"/>
        </w:trPr>
        <w:tc>
          <w:tcPr>
            <w:tcW w:w="4500" w:type="dxa"/>
            <w:shd w:val="clear" w:color="auto" w:fill="auto"/>
            <w:noWrap/>
            <w:vAlign w:val="bottom"/>
            <w:hideMark/>
          </w:tcPr>
          <w:p w14:paraId="18F58E56"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Households - digital</w:t>
            </w:r>
          </w:p>
        </w:tc>
        <w:tc>
          <w:tcPr>
            <w:tcW w:w="770" w:type="dxa"/>
            <w:shd w:val="clear" w:color="auto" w:fill="auto"/>
            <w:noWrap/>
            <w:vAlign w:val="bottom"/>
            <w:hideMark/>
          </w:tcPr>
          <w:p w14:paraId="1F623171"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150F83DF" w14:textId="77777777" w:rsidR="00BD4D02" w:rsidRPr="00BD4D02" w:rsidRDefault="00BD4D02" w:rsidP="00BD4D02">
            <w:pPr>
              <w:rPr>
                <w:sz w:val="20"/>
                <w:szCs w:val="20"/>
              </w:rPr>
            </w:pPr>
          </w:p>
        </w:tc>
        <w:tc>
          <w:tcPr>
            <w:tcW w:w="663" w:type="dxa"/>
            <w:shd w:val="clear" w:color="auto" w:fill="auto"/>
            <w:noWrap/>
            <w:vAlign w:val="bottom"/>
            <w:hideMark/>
          </w:tcPr>
          <w:p w14:paraId="0F42CC9B" w14:textId="77777777" w:rsidR="00BD4D02" w:rsidRPr="00BD4D02" w:rsidRDefault="00BD4D02" w:rsidP="00BD4D02">
            <w:pPr>
              <w:rPr>
                <w:sz w:val="20"/>
                <w:szCs w:val="20"/>
              </w:rPr>
            </w:pPr>
          </w:p>
        </w:tc>
        <w:tc>
          <w:tcPr>
            <w:tcW w:w="663" w:type="dxa"/>
            <w:shd w:val="clear" w:color="auto" w:fill="auto"/>
            <w:noWrap/>
            <w:vAlign w:val="bottom"/>
            <w:hideMark/>
          </w:tcPr>
          <w:p w14:paraId="10B01630" w14:textId="77777777" w:rsidR="00BD4D02" w:rsidRPr="00BD4D02" w:rsidRDefault="00BD4D02" w:rsidP="00BD4D02">
            <w:pPr>
              <w:rPr>
                <w:sz w:val="20"/>
                <w:szCs w:val="20"/>
              </w:rPr>
            </w:pPr>
          </w:p>
        </w:tc>
        <w:tc>
          <w:tcPr>
            <w:tcW w:w="663" w:type="dxa"/>
            <w:shd w:val="clear" w:color="auto" w:fill="auto"/>
            <w:noWrap/>
            <w:vAlign w:val="bottom"/>
            <w:hideMark/>
          </w:tcPr>
          <w:p w14:paraId="4E4FF04A" w14:textId="77777777" w:rsidR="00BD4D02" w:rsidRPr="00BD4D02" w:rsidRDefault="00BD4D02" w:rsidP="00BD4D02">
            <w:pPr>
              <w:rPr>
                <w:sz w:val="20"/>
                <w:szCs w:val="20"/>
              </w:rPr>
            </w:pPr>
          </w:p>
        </w:tc>
        <w:tc>
          <w:tcPr>
            <w:tcW w:w="663" w:type="dxa"/>
            <w:shd w:val="clear" w:color="auto" w:fill="auto"/>
            <w:noWrap/>
            <w:vAlign w:val="bottom"/>
            <w:hideMark/>
          </w:tcPr>
          <w:p w14:paraId="6BC21598"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0FC34E20"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5298D64C" w14:textId="77777777" w:rsidR="00BD4D02" w:rsidRPr="00BD4D02" w:rsidRDefault="00BD4D02" w:rsidP="00BD4D02">
            <w:pPr>
              <w:rPr>
                <w:sz w:val="20"/>
                <w:szCs w:val="20"/>
              </w:rPr>
            </w:pPr>
          </w:p>
        </w:tc>
        <w:tc>
          <w:tcPr>
            <w:tcW w:w="663" w:type="dxa"/>
            <w:shd w:val="clear" w:color="auto" w:fill="auto"/>
            <w:noWrap/>
            <w:vAlign w:val="bottom"/>
            <w:hideMark/>
          </w:tcPr>
          <w:p w14:paraId="4C62160C" w14:textId="77777777" w:rsidR="00BD4D02" w:rsidRPr="00BD4D02" w:rsidRDefault="00BD4D02" w:rsidP="00BD4D02">
            <w:pPr>
              <w:rPr>
                <w:sz w:val="20"/>
                <w:szCs w:val="20"/>
              </w:rPr>
            </w:pPr>
          </w:p>
        </w:tc>
        <w:tc>
          <w:tcPr>
            <w:tcW w:w="663" w:type="dxa"/>
            <w:shd w:val="clear" w:color="auto" w:fill="auto"/>
            <w:noWrap/>
            <w:vAlign w:val="bottom"/>
            <w:hideMark/>
          </w:tcPr>
          <w:p w14:paraId="69F4AE89" w14:textId="77777777" w:rsidR="00BD4D02" w:rsidRPr="00BD4D02" w:rsidRDefault="00BD4D02" w:rsidP="00BD4D02">
            <w:pPr>
              <w:rPr>
                <w:sz w:val="20"/>
                <w:szCs w:val="20"/>
              </w:rPr>
            </w:pPr>
          </w:p>
        </w:tc>
        <w:tc>
          <w:tcPr>
            <w:tcW w:w="663" w:type="dxa"/>
            <w:shd w:val="clear" w:color="auto" w:fill="auto"/>
            <w:noWrap/>
            <w:vAlign w:val="bottom"/>
            <w:hideMark/>
          </w:tcPr>
          <w:p w14:paraId="6AD8B85A" w14:textId="77777777" w:rsidR="00BD4D02" w:rsidRPr="00BD4D02" w:rsidRDefault="00BD4D02" w:rsidP="00BD4D02">
            <w:pPr>
              <w:rPr>
                <w:sz w:val="20"/>
                <w:szCs w:val="20"/>
              </w:rPr>
            </w:pPr>
          </w:p>
        </w:tc>
        <w:tc>
          <w:tcPr>
            <w:tcW w:w="663" w:type="dxa"/>
            <w:shd w:val="clear" w:color="auto" w:fill="auto"/>
            <w:noWrap/>
            <w:vAlign w:val="bottom"/>
            <w:hideMark/>
          </w:tcPr>
          <w:p w14:paraId="172534D5" w14:textId="77777777" w:rsidR="00BD4D02" w:rsidRPr="00BD4D02" w:rsidRDefault="00BD4D02" w:rsidP="00BD4D02">
            <w:pPr>
              <w:rPr>
                <w:sz w:val="20"/>
                <w:szCs w:val="20"/>
              </w:rPr>
            </w:pPr>
          </w:p>
        </w:tc>
        <w:tc>
          <w:tcPr>
            <w:tcW w:w="1180" w:type="dxa"/>
            <w:shd w:val="clear" w:color="auto" w:fill="auto"/>
            <w:noWrap/>
            <w:vAlign w:val="bottom"/>
            <w:hideMark/>
          </w:tcPr>
          <w:p w14:paraId="096884A8"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172AF4C9" w14:textId="77777777" w:rsidTr="00050580">
        <w:trPr>
          <w:trHeight w:val="144"/>
        </w:trPr>
        <w:tc>
          <w:tcPr>
            <w:tcW w:w="4500" w:type="dxa"/>
            <w:shd w:val="clear" w:color="auto" w:fill="auto"/>
            <w:noWrap/>
            <w:vAlign w:val="bottom"/>
            <w:hideMark/>
          </w:tcPr>
          <w:p w14:paraId="207DE734"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 xml:space="preserve">Households - </w:t>
            </w:r>
            <w:proofErr w:type="spellStart"/>
            <w:r w:rsidRPr="00BD4D02">
              <w:rPr>
                <w:rFonts w:ascii="Calibri" w:hAnsi="Calibri" w:cs="Calibri"/>
                <w:color w:val="000000"/>
                <w:sz w:val="20"/>
                <w:szCs w:val="20"/>
              </w:rPr>
              <w:t>pay-TV</w:t>
            </w:r>
            <w:proofErr w:type="spellEnd"/>
          </w:p>
        </w:tc>
        <w:tc>
          <w:tcPr>
            <w:tcW w:w="770" w:type="dxa"/>
            <w:shd w:val="clear" w:color="auto" w:fill="auto"/>
            <w:noWrap/>
            <w:vAlign w:val="bottom"/>
            <w:hideMark/>
          </w:tcPr>
          <w:p w14:paraId="191B66BF"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4B417159" w14:textId="77777777" w:rsidR="00BD4D02" w:rsidRPr="00BD4D02" w:rsidRDefault="00BD4D02" w:rsidP="00BD4D02">
            <w:pPr>
              <w:rPr>
                <w:sz w:val="20"/>
                <w:szCs w:val="20"/>
              </w:rPr>
            </w:pPr>
          </w:p>
        </w:tc>
        <w:tc>
          <w:tcPr>
            <w:tcW w:w="663" w:type="dxa"/>
            <w:shd w:val="clear" w:color="auto" w:fill="auto"/>
            <w:noWrap/>
            <w:vAlign w:val="bottom"/>
            <w:hideMark/>
          </w:tcPr>
          <w:p w14:paraId="28A63382" w14:textId="77777777" w:rsidR="00BD4D02" w:rsidRPr="00BD4D02" w:rsidRDefault="00BD4D02" w:rsidP="00BD4D02">
            <w:pPr>
              <w:rPr>
                <w:sz w:val="20"/>
                <w:szCs w:val="20"/>
              </w:rPr>
            </w:pPr>
          </w:p>
        </w:tc>
        <w:tc>
          <w:tcPr>
            <w:tcW w:w="663" w:type="dxa"/>
            <w:shd w:val="clear" w:color="auto" w:fill="auto"/>
            <w:noWrap/>
            <w:vAlign w:val="bottom"/>
            <w:hideMark/>
          </w:tcPr>
          <w:p w14:paraId="0B12C358" w14:textId="77777777" w:rsidR="00BD4D02" w:rsidRPr="00BD4D02" w:rsidRDefault="00BD4D02" w:rsidP="00BD4D02">
            <w:pPr>
              <w:rPr>
                <w:sz w:val="20"/>
                <w:szCs w:val="20"/>
              </w:rPr>
            </w:pPr>
          </w:p>
        </w:tc>
        <w:tc>
          <w:tcPr>
            <w:tcW w:w="663" w:type="dxa"/>
            <w:shd w:val="clear" w:color="auto" w:fill="auto"/>
            <w:noWrap/>
            <w:vAlign w:val="bottom"/>
            <w:hideMark/>
          </w:tcPr>
          <w:p w14:paraId="69DCB486" w14:textId="77777777" w:rsidR="00BD4D02" w:rsidRPr="00BD4D02" w:rsidRDefault="00BD4D02" w:rsidP="00BD4D02">
            <w:pPr>
              <w:rPr>
                <w:sz w:val="20"/>
                <w:szCs w:val="20"/>
              </w:rPr>
            </w:pPr>
          </w:p>
        </w:tc>
        <w:tc>
          <w:tcPr>
            <w:tcW w:w="663" w:type="dxa"/>
            <w:shd w:val="clear" w:color="auto" w:fill="auto"/>
            <w:noWrap/>
            <w:vAlign w:val="bottom"/>
            <w:hideMark/>
          </w:tcPr>
          <w:p w14:paraId="5306634D"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371C6D05"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588F2FCF" w14:textId="77777777" w:rsidR="00BD4D02" w:rsidRPr="00BD4D02" w:rsidRDefault="00BD4D02" w:rsidP="00BD4D02">
            <w:pPr>
              <w:rPr>
                <w:sz w:val="20"/>
                <w:szCs w:val="20"/>
              </w:rPr>
            </w:pPr>
          </w:p>
        </w:tc>
        <w:tc>
          <w:tcPr>
            <w:tcW w:w="663" w:type="dxa"/>
            <w:shd w:val="clear" w:color="auto" w:fill="auto"/>
            <w:noWrap/>
            <w:vAlign w:val="bottom"/>
            <w:hideMark/>
          </w:tcPr>
          <w:p w14:paraId="0829ED9F" w14:textId="77777777" w:rsidR="00BD4D02" w:rsidRPr="00BD4D02" w:rsidRDefault="00BD4D02" w:rsidP="00BD4D02">
            <w:pPr>
              <w:rPr>
                <w:sz w:val="20"/>
                <w:szCs w:val="20"/>
              </w:rPr>
            </w:pPr>
          </w:p>
        </w:tc>
        <w:tc>
          <w:tcPr>
            <w:tcW w:w="663" w:type="dxa"/>
            <w:shd w:val="clear" w:color="auto" w:fill="auto"/>
            <w:noWrap/>
            <w:vAlign w:val="bottom"/>
            <w:hideMark/>
          </w:tcPr>
          <w:p w14:paraId="4B8DA2EF" w14:textId="77777777" w:rsidR="00BD4D02" w:rsidRPr="00BD4D02" w:rsidRDefault="00BD4D02" w:rsidP="00BD4D02">
            <w:pPr>
              <w:rPr>
                <w:sz w:val="20"/>
                <w:szCs w:val="20"/>
              </w:rPr>
            </w:pPr>
          </w:p>
        </w:tc>
        <w:tc>
          <w:tcPr>
            <w:tcW w:w="663" w:type="dxa"/>
            <w:shd w:val="clear" w:color="auto" w:fill="auto"/>
            <w:noWrap/>
            <w:vAlign w:val="bottom"/>
            <w:hideMark/>
          </w:tcPr>
          <w:p w14:paraId="13B0912E" w14:textId="77777777" w:rsidR="00BD4D02" w:rsidRPr="00BD4D02" w:rsidRDefault="00BD4D02" w:rsidP="00BD4D02">
            <w:pPr>
              <w:rPr>
                <w:sz w:val="20"/>
                <w:szCs w:val="20"/>
              </w:rPr>
            </w:pPr>
          </w:p>
        </w:tc>
        <w:tc>
          <w:tcPr>
            <w:tcW w:w="663" w:type="dxa"/>
            <w:shd w:val="clear" w:color="auto" w:fill="auto"/>
            <w:noWrap/>
            <w:vAlign w:val="bottom"/>
            <w:hideMark/>
          </w:tcPr>
          <w:p w14:paraId="77BE49D4" w14:textId="77777777" w:rsidR="00BD4D02" w:rsidRPr="00BD4D02" w:rsidRDefault="00BD4D02" w:rsidP="00BD4D02">
            <w:pPr>
              <w:rPr>
                <w:sz w:val="20"/>
                <w:szCs w:val="20"/>
              </w:rPr>
            </w:pPr>
          </w:p>
        </w:tc>
        <w:tc>
          <w:tcPr>
            <w:tcW w:w="1180" w:type="dxa"/>
            <w:shd w:val="clear" w:color="auto" w:fill="auto"/>
            <w:noWrap/>
            <w:vAlign w:val="bottom"/>
            <w:hideMark/>
          </w:tcPr>
          <w:p w14:paraId="5A234C17"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7120826F" w14:textId="77777777" w:rsidTr="00050580">
        <w:trPr>
          <w:trHeight w:val="144"/>
        </w:trPr>
        <w:tc>
          <w:tcPr>
            <w:tcW w:w="4500" w:type="dxa"/>
            <w:shd w:val="clear" w:color="auto" w:fill="auto"/>
            <w:noWrap/>
            <w:vAlign w:val="bottom"/>
            <w:hideMark/>
          </w:tcPr>
          <w:p w14:paraId="65FD821B"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 xml:space="preserve">Internet - % of Canadians </w:t>
            </w:r>
          </w:p>
        </w:tc>
        <w:tc>
          <w:tcPr>
            <w:tcW w:w="770" w:type="dxa"/>
            <w:shd w:val="clear" w:color="auto" w:fill="auto"/>
            <w:noWrap/>
            <w:vAlign w:val="bottom"/>
            <w:hideMark/>
          </w:tcPr>
          <w:p w14:paraId="497543C3"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32B576A5" w14:textId="77777777" w:rsidR="00BD4D02" w:rsidRPr="00BD4D02" w:rsidRDefault="00BD4D02" w:rsidP="00BD4D02">
            <w:pPr>
              <w:rPr>
                <w:sz w:val="20"/>
                <w:szCs w:val="20"/>
              </w:rPr>
            </w:pPr>
          </w:p>
        </w:tc>
        <w:tc>
          <w:tcPr>
            <w:tcW w:w="663" w:type="dxa"/>
            <w:shd w:val="clear" w:color="auto" w:fill="auto"/>
            <w:noWrap/>
            <w:vAlign w:val="bottom"/>
            <w:hideMark/>
          </w:tcPr>
          <w:p w14:paraId="76955382" w14:textId="77777777" w:rsidR="00BD4D02" w:rsidRPr="00BD4D02" w:rsidRDefault="00BD4D02" w:rsidP="00BD4D02">
            <w:pPr>
              <w:rPr>
                <w:sz w:val="20"/>
                <w:szCs w:val="20"/>
              </w:rPr>
            </w:pPr>
          </w:p>
        </w:tc>
        <w:tc>
          <w:tcPr>
            <w:tcW w:w="663" w:type="dxa"/>
            <w:shd w:val="clear" w:color="auto" w:fill="auto"/>
            <w:noWrap/>
            <w:vAlign w:val="bottom"/>
            <w:hideMark/>
          </w:tcPr>
          <w:p w14:paraId="59B18B93" w14:textId="77777777" w:rsidR="00BD4D02" w:rsidRPr="00BD4D02" w:rsidRDefault="00BD4D02" w:rsidP="00BD4D02">
            <w:pPr>
              <w:rPr>
                <w:sz w:val="20"/>
                <w:szCs w:val="20"/>
              </w:rPr>
            </w:pPr>
          </w:p>
        </w:tc>
        <w:tc>
          <w:tcPr>
            <w:tcW w:w="663" w:type="dxa"/>
            <w:shd w:val="clear" w:color="auto" w:fill="auto"/>
            <w:noWrap/>
            <w:vAlign w:val="bottom"/>
            <w:hideMark/>
          </w:tcPr>
          <w:p w14:paraId="0B446F3B"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5B6BE254"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54D69DAF" w14:textId="77777777" w:rsidR="00BD4D02" w:rsidRPr="00BD4D02" w:rsidRDefault="00BD4D02" w:rsidP="00BD4D02">
            <w:pPr>
              <w:rPr>
                <w:sz w:val="20"/>
                <w:szCs w:val="20"/>
              </w:rPr>
            </w:pPr>
          </w:p>
        </w:tc>
        <w:tc>
          <w:tcPr>
            <w:tcW w:w="663" w:type="dxa"/>
            <w:shd w:val="clear" w:color="auto" w:fill="auto"/>
            <w:noWrap/>
            <w:vAlign w:val="bottom"/>
            <w:hideMark/>
          </w:tcPr>
          <w:p w14:paraId="486C355D" w14:textId="77777777" w:rsidR="00BD4D02" w:rsidRPr="00BD4D02" w:rsidRDefault="00BD4D02" w:rsidP="00BD4D02">
            <w:pPr>
              <w:rPr>
                <w:sz w:val="20"/>
                <w:szCs w:val="20"/>
              </w:rPr>
            </w:pPr>
          </w:p>
        </w:tc>
        <w:tc>
          <w:tcPr>
            <w:tcW w:w="663" w:type="dxa"/>
            <w:shd w:val="clear" w:color="auto" w:fill="auto"/>
            <w:noWrap/>
            <w:vAlign w:val="bottom"/>
            <w:hideMark/>
          </w:tcPr>
          <w:p w14:paraId="7A48151C" w14:textId="77777777" w:rsidR="00BD4D02" w:rsidRPr="00BD4D02" w:rsidRDefault="00BD4D02" w:rsidP="00BD4D02">
            <w:pPr>
              <w:rPr>
                <w:sz w:val="20"/>
                <w:szCs w:val="20"/>
              </w:rPr>
            </w:pPr>
          </w:p>
        </w:tc>
        <w:tc>
          <w:tcPr>
            <w:tcW w:w="663" w:type="dxa"/>
            <w:shd w:val="clear" w:color="auto" w:fill="auto"/>
            <w:noWrap/>
            <w:vAlign w:val="bottom"/>
            <w:hideMark/>
          </w:tcPr>
          <w:p w14:paraId="3A5EDBB1" w14:textId="77777777" w:rsidR="00BD4D02" w:rsidRPr="00BD4D02" w:rsidRDefault="00BD4D02" w:rsidP="00BD4D02">
            <w:pPr>
              <w:rPr>
                <w:sz w:val="20"/>
                <w:szCs w:val="20"/>
              </w:rPr>
            </w:pPr>
          </w:p>
        </w:tc>
        <w:tc>
          <w:tcPr>
            <w:tcW w:w="663" w:type="dxa"/>
            <w:shd w:val="clear" w:color="auto" w:fill="auto"/>
            <w:noWrap/>
            <w:vAlign w:val="bottom"/>
            <w:hideMark/>
          </w:tcPr>
          <w:p w14:paraId="641EED57" w14:textId="77777777" w:rsidR="00BD4D02" w:rsidRPr="00BD4D02" w:rsidRDefault="00BD4D02" w:rsidP="00BD4D02">
            <w:pPr>
              <w:rPr>
                <w:sz w:val="20"/>
                <w:szCs w:val="20"/>
              </w:rPr>
            </w:pPr>
          </w:p>
        </w:tc>
        <w:tc>
          <w:tcPr>
            <w:tcW w:w="663" w:type="dxa"/>
            <w:shd w:val="clear" w:color="auto" w:fill="auto"/>
            <w:noWrap/>
            <w:vAlign w:val="bottom"/>
            <w:hideMark/>
          </w:tcPr>
          <w:p w14:paraId="11840CDB" w14:textId="77777777" w:rsidR="00BD4D02" w:rsidRPr="00BD4D02" w:rsidRDefault="00BD4D02" w:rsidP="00BD4D02">
            <w:pPr>
              <w:rPr>
                <w:sz w:val="20"/>
                <w:szCs w:val="20"/>
              </w:rPr>
            </w:pPr>
          </w:p>
        </w:tc>
        <w:tc>
          <w:tcPr>
            <w:tcW w:w="1180" w:type="dxa"/>
            <w:shd w:val="clear" w:color="auto" w:fill="auto"/>
            <w:noWrap/>
            <w:vAlign w:val="bottom"/>
            <w:hideMark/>
          </w:tcPr>
          <w:p w14:paraId="11EDF6C4"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r>
      <w:tr w:rsidR="00BD4D02" w:rsidRPr="00BD4D02" w14:paraId="747998EE" w14:textId="77777777" w:rsidTr="00050580">
        <w:trPr>
          <w:trHeight w:val="144"/>
        </w:trPr>
        <w:tc>
          <w:tcPr>
            <w:tcW w:w="4500" w:type="dxa"/>
            <w:shd w:val="clear" w:color="auto" w:fill="auto"/>
            <w:noWrap/>
            <w:vAlign w:val="bottom"/>
            <w:hideMark/>
          </w:tcPr>
          <w:p w14:paraId="0738D63D"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Internet - activities</w:t>
            </w:r>
          </w:p>
        </w:tc>
        <w:tc>
          <w:tcPr>
            <w:tcW w:w="770" w:type="dxa"/>
            <w:shd w:val="clear" w:color="auto" w:fill="auto"/>
            <w:noWrap/>
            <w:vAlign w:val="bottom"/>
            <w:hideMark/>
          </w:tcPr>
          <w:p w14:paraId="2A7F83A8"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78EA7EEC"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57141B18"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39604F32"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3ECB0516"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0D8EE141"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3D64404C" w14:textId="77777777" w:rsidR="00BD4D02" w:rsidRPr="00BD4D02" w:rsidRDefault="00BD4D02" w:rsidP="00BD4D02">
            <w:pPr>
              <w:rPr>
                <w:sz w:val="20"/>
                <w:szCs w:val="20"/>
              </w:rPr>
            </w:pPr>
          </w:p>
        </w:tc>
        <w:tc>
          <w:tcPr>
            <w:tcW w:w="663" w:type="dxa"/>
            <w:shd w:val="clear" w:color="auto" w:fill="auto"/>
            <w:noWrap/>
            <w:vAlign w:val="bottom"/>
            <w:hideMark/>
          </w:tcPr>
          <w:p w14:paraId="4A037A9A" w14:textId="77777777" w:rsidR="00BD4D02" w:rsidRPr="00BD4D02" w:rsidRDefault="00BD4D02" w:rsidP="00BD4D02">
            <w:pPr>
              <w:rPr>
                <w:sz w:val="20"/>
                <w:szCs w:val="20"/>
              </w:rPr>
            </w:pPr>
          </w:p>
        </w:tc>
        <w:tc>
          <w:tcPr>
            <w:tcW w:w="663" w:type="dxa"/>
            <w:shd w:val="clear" w:color="auto" w:fill="auto"/>
            <w:noWrap/>
            <w:vAlign w:val="bottom"/>
            <w:hideMark/>
          </w:tcPr>
          <w:p w14:paraId="02833B5E" w14:textId="77777777" w:rsidR="00BD4D02" w:rsidRPr="00BD4D02" w:rsidRDefault="00BD4D02" w:rsidP="00BD4D02">
            <w:pPr>
              <w:rPr>
                <w:sz w:val="20"/>
                <w:szCs w:val="20"/>
              </w:rPr>
            </w:pPr>
          </w:p>
        </w:tc>
        <w:tc>
          <w:tcPr>
            <w:tcW w:w="663" w:type="dxa"/>
            <w:shd w:val="clear" w:color="auto" w:fill="auto"/>
            <w:noWrap/>
            <w:vAlign w:val="bottom"/>
            <w:hideMark/>
          </w:tcPr>
          <w:p w14:paraId="7F893B51" w14:textId="77777777" w:rsidR="00BD4D02" w:rsidRPr="00BD4D02" w:rsidRDefault="00BD4D02" w:rsidP="00BD4D02">
            <w:pPr>
              <w:rPr>
                <w:sz w:val="20"/>
                <w:szCs w:val="20"/>
              </w:rPr>
            </w:pPr>
          </w:p>
        </w:tc>
        <w:tc>
          <w:tcPr>
            <w:tcW w:w="663" w:type="dxa"/>
            <w:shd w:val="clear" w:color="auto" w:fill="auto"/>
            <w:noWrap/>
            <w:vAlign w:val="bottom"/>
            <w:hideMark/>
          </w:tcPr>
          <w:p w14:paraId="4EB59F25" w14:textId="77777777" w:rsidR="00BD4D02" w:rsidRPr="00BD4D02" w:rsidRDefault="00BD4D02" w:rsidP="00BD4D02">
            <w:pPr>
              <w:rPr>
                <w:sz w:val="20"/>
                <w:szCs w:val="20"/>
              </w:rPr>
            </w:pPr>
          </w:p>
        </w:tc>
        <w:tc>
          <w:tcPr>
            <w:tcW w:w="663" w:type="dxa"/>
            <w:shd w:val="clear" w:color="auto" w:fill="auto"/>
            <w:noWrap/>
            <w:vAlign w:val="bottom"/>
            <w:hideMark/>
          </w:tcPr>
          <w:p w14:paraId="28A71DA4" w14:textId="77777777" w:rsidR="00BD4D02" w:rsidRPr="00BD4D02" w:rsidRDefault="00BD4D02" w:rsidP="00BD4D02">
            <w:pPr>
              <w:rPr>
                <w:sz w:val="20"/>
                <w:szCs w:val="20"/>
              </w:rPr>
            </w:pPr>
          </w:p>
        </w:tc>
        <w:tc>
          <w:tcPr>
            <w:tcW w:w="1180" w:type="dxa"/>
            <w:shd w:val="clear" w:color="auto" w:fill="auto"/>
            <w:noWrap/>
            <w:vAlign w:val="bottom"/>
            <w:hideMark/>
          </w:tcPr>
          <w:p w14:paraId="2E28F632"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6</w:t>
            </w:r>
          </w:p>
        </w:tc>
      </w:tr>
      <w:tr w:rsidR="00BD4D02" w:rsidRPr="00BD4D02" w14:paraId="48B5B52D" w14:textId="77777777" w:rsidTr="00050580">
        <w:trPr>
          <w:trHeight w:val="144"/>
        </w:trPr>
        <w:tc>
          <w:tcPr>
            <w:tcW w:w="4500" w:type="dxa"/>
            <w:shd w:val="clear" w:color="auto" w:fill="auto"/>
            <w:noWrap/>
            <w:vAlign w:val="bottom"/>
            <w:hideMark/>
          </w:tcPr>
          <w:p w14:paraId="77ECC836"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Internet - applications - bandwidth</w:t>
            </w:r>
          </w:p>
        </w:tc>
        <w:tc>
          <w:tcPr>
            <w:tcW w:w="770" w:type="dxa"/>
            <w:shd w:val="clear" w:color="auto" w:fill="auto"/>
            <w:noWrap/>
            <w:vAlign w:val="bottom"/>
            <w:hideMark/>
          </w:tcPr>
          <w:p w14:paraId="51C9B33B"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41EDC2C3"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595594FF"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4341D287"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4F36615B"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7441B181"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17438CB7" w14:textId="77777777" w:rsidR="00BD4D02" w:rsidRPr="00BD4D02" w:rsidRDefault="00BD4D02" w:rsidP="00BD4D02">
            <w:pPr>
              <w:rPr>
                <w:sz w:val="20"/>
                <w:szCs w:val="20"/>
              </w:rPr>
            </w:pPr>
          </w:p>
        </w:tc>
        <w:tc>
          <w:tcPr>
            <w:tcW w:w="663" w:type="dxa"/>
            <w:shd w:val="clear" w:color="auto" w:fill="auto"/>
            <w:noWrap/>
            <w:vAlign w:val="bottom"/>
            <w:hideMark/>
          </w:tcPr>
          <w:p w14:paraId="1579FCDC" w14:textId="77777777" w:rsidR="00BD4D02" w:rsidRPr="00BD4D02" w:rsidRDefault="00BD4D02" w:rsidP="00BD4D02">
            <w:pPr>
              <w:rPr>
                <w:sz w:val="20"/>
                <w:szCs w:val="20"/>
              </w:rPr>
            </w:pPr>
          </w:p>
        </w:tc>
        <w:tc>
          <w:tcPr>
            <w:tcW w:w="663" w:type="dxa"/>
            <w:shd w:val="clear" w:color="auto" w:fill="auto"/>
            <w:noWrap/>
            <w:vAlign w:val="bottom"/>
            <w:hideMark/>
          </w:tcPr>
          <w:p w14:paraId="03E63621" w14:textId="77777777" w:rsidR="00BD4D02" w:rsidRPr="00BD4D02" w:rsidRDefault="00BD4D02" w:rsidP="00BD4D02">
            <w:pPr>
              <w:rPr>
                <w:sz w:val="20"/>
                <w:szCs w:val="20"/>
              </w:rPr>
            </w:pPr>
          </w:p>
        </w:tc>
        <w:tc>
          <w:tcPr>
            <w:tcW w:w="663" w:type="dxa"/>
            <w:shd w:val="clear" w:color="auto" w:fill="auto"/>
            <w:noWrap/>
            <w:vAlign w:val="bottom"/>
            <w:hideMark/>
          </w:tcPr>
          <w:p w14:paraId="31B737ED" w14:textId="77777777" w:rsidR="00BD4D02" w:rsidRPr="00BD4D02" w:rsidRDefault="00BD4D02" w:rsidP="00BD4D02">
            <w:pPr>
              <w:rPr>
                <w:sz w:val="20"/>
                <w:szCs w:val="20"/>
              </w:rPr>
            </w:pPr>
          </w:p>
        </w:tc>
        <w:tc>
          <w:tcPr>
            <w:tcW w:w="663" w:type="dxa"/>
            <w:shd w:val="clear" w:color="auto" w:fill="auto"/>
            <w:noWrap/>
            <w:vAlign w:val="bottom"/>
            <w:hideMark/>
          </w:tcPr>
          <w:p w14:paraId="5CE951D1" w14:textId="77777777" w:rsidR="00BD4D02" w:rsidRPr="00BD4D02" w:rsidRDefault="00BD4D02" w:rsidP="00BD4D02">
            <w:pPr>
              <w:rPr>
                <w:sz w:val="20"/>
                <w:szCs w:val="20"/>
              </w:rPr>
            </w:pPr>
          </w:p>
        </w:tc>
        <w:tc>
          <w:tcPr>
            <w:tcW w:w="663" w:type="dxa"/>
            <w:shd w:val="clear" w:color="auto" w:fill="auto"/>
            <w:noWrap/>
            <w:vAlign w:val="bottom"/>
            <w:hideMark/>
          </w:tcPr>
          <w:p w14:paraId="7DF4AD24" w14:textId="77777777" w:rsidR="00BD4D02" w:rsidRPr="00BD4D02" w:rsidRDefault="00BD4D02" w:rsidP="00BD4D02">
            <w:pPr>
              <w:rPr>
                <w:sz w:val="20"/>
                <w:szCs w:val="20"/>
              </w:rPr>
            </w:pPr>
          </w:p>
        </w:tc>
        <w:tc>
          <w:tcPr>
            <w:tcW w:w="1180" w:type="dxa"/>
            <w:shd w:val="clear" w:color="auto" w:fill="auto"/>
            <w:noWrap/>
            <w:vAlign w:val="bottom"/>
            <w:hideMark/>
          </w:tcPr>
          <w:p w14:paraId="2EA345B3"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5</w:t>
            </w:r>
          </w:p>
        </w:tc>
      </w:tr>
      <w:tr w:rsidR="00BD4D02" w:rsidRPr="00BD4D02" w14:paraId="53C5A6CB" w14:textId="77777777" w:rsidTr="00050580">
        <w:trPr>
          <w:trHeight w:val="144"/>
        </w:trPr>
        <w:tc>
          <w:tcPr>
            <w:tcW w:w="4500" w:type="dxa"/>
            <w:shd w:val="clear" w:color="auto" w:fill="auto"/>
            <w:noWrap/>
            <w:vAlign w:val="bottom"/>
            <w:hideMark/>
          </w:tcPr>
          <w:p w14:paraId="7DF44E52"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Internet TV - devices</w:t>
            </w:r>
          </w:p>
        </w:tc>
        <w:tc>
          <w:tcPr>
            <w:tcW w:w="770" w:type="dxa"/>
            <w:shd w:val="clear" w:color="auto" w:fill="auto"/>
            <w:noWrap/>
            <w:vAlign w:val="bottom"/>
            <w:hideMark/>
          </w:tcPr>
          <w:p w14:paraId="206D8ADD"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2575097E" w14:textId="77777777" w:rsidR="00BD4D02" w:rsidRPr="00BD4D02" w:rsidRDefault="00BD4D02" w:rsidP="00BD4D02">
            <w:pPr>
              <w:rPr>
                <w:sz w:val="20"/>
                <w:szCs w:val="20"/>
              </w:rPr>
            </w:pPr>
          </w:p>
        </w:tc>
        <w:tc>
          <w:tcPr>
            <w:tcW w:w="663" w:type="dxa"/>
            <w:shd w:val="clear" w:color="auto" w:fill="auto"/>
            <w:noWrap/>
            <w:vAlign w:val="bottom"/>
            <w:hideMark/>
          </w:tcPr>
          <w:p w14:paraId="15F9EC03" w14:textId="77777777" w:rsidR="00BD4D02" w:rsidRPr="00BD4D02" w:rsidRDefault="00BD4D02" w:rsidP="00BD4D02">
            <w:pPr>
              <w:rPr>
                <w:sz w:val="20"/>
                <w:szCs w:val="20"/>
              </w:rPr>
            </w:pPr>
          </w:p>
        </w:tc>
        <w:tc>
          <w:tcPr>
            <w:tcW w:w="663" w:type="dxa"/>
            <w:shd w:val="clear" w:color="auto" w:fill="auto"/>
            <w:noWrap/>
            <w:vAlign w:val="bottom"/>
            <w:hideMark/>
          </w:tcPr>
          <w:p w14:paraId="2FDFDC46" w14:textId="77777777" w:rsidR="00BD4D02" w:rsidRPr="00BD4D02" w:rsidRDefault="00BD4D02" w:rsidP="00BD4D02">
            <w:pPr>
              <w:rPr>
                <w:sz w:val="20"/>
                <w:szCs w:val="20"/>
              </w:rPr>
            </w:pPr>
          </w:p>
        </w:tc>
        <w:tc>
          <w:tcPr>
            <w:tcW w:w="663" w:type="dxa"/>
            <w:shd w:val="clear" w:color="auto" w:fill="auto"/>
            <w:noWrap/>
            <w:vAlign w:val="bottom"/>
            <w:hideMark/>
          </w:tcPr>
          <w:p w14:paraId="3A123136"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66F6BEE7"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23069F67" w14:textId="77777777" w:rsidR="00BD4D02" w:rsidRPr="00BD4D02" w:rsidRDefault="00BD4D02" w:rsidP="00BD4D02">
            <w:pPr>
              <w:rPr>
                <w:sz w:val="20"/>
                <w:szCs w:val="20"/>
              </w:rPr>
            </w:pPr>
          </w:p>
        </w:tc>
        <w:tc>
          <w:tcPr>
            <w:tcW w:w="663" w:type="dxa"/>
            <w:shd w:val="clear" w:color="auto" w:fill="auto"/>
            <w:noWrap/>
            <w:vAlign w:val="bottom"/>
            <w:hideMark/>
          </w:tcPr>
          <w:p w14:paraId="501DF315" w14:textId="77777777" w:rsidR="00BD4D02" w:rsidRPr="00BD4D02" w:rsidRDefault="00BD4D02" w:rsidP="00BD4D02">
            <w:pPr>
              <w:rPr>
                <w:sz w:val="20"/>
                <w:szCs w:val="20"/>
              </w:rPr>
            </w:pPr>
          </w:p>
        </w:tc>
        <w:tc>
          <w:tcPr>
            <w:tcW w:w="663" w:type="dxa"/>
            <w:shd w:val="clear" w:color="auto" w:fill="auto"/>
            <w:noWrap/>
            <w:vAlign w:val="bottom"/>
            <w:hideMark/>
          </w:tcPr>
          <w:p w14:paraId="28033D1B" w14:textId="77777777" w:rsidR="00BD4D02" w:rsidRPr="00BD4D02" w:rsidRDefault="00BD4D02" w:rsidP="00BD4D02">
            <w:pPr>
              <w:rPr>
                <w:sz w:val="20"/>
                <w:szCs w:val="20"/>
              </w:rPr>
            </w:pPr>
          </w:p>
        </w:tc>
        <w:tc>
          <w:tcPr>
            <w:tcW w:w="663" w:type="dxa"/>
            <w:shd w:val="clear" w:color="auto" w:fill="auto"/>
            <w:noWrap/>
            <w:vAlign w:val="bottom"/>
            <w:hideMark/>
          </w:tcPr>
          <w:p w14:paraId="1F4BEB6F" w14:textId="77777777" w:rsidR="00BD4D02" w:rsidRPr="00BD4D02" w:rsidRDefault="00BD4D02" w:rsidP="00BD4D02">
            <w:pPr>
              <w:rPr>
                <w:sz w:val="20"/>
                <w:szCs w:val="20"/>
              </w:rPr>
            </w:pPr>
          </w:p>
        </w:tc>
        <w:tc>
          <w:tcPr>
            <w:tcW w:w="663" w:type="dxa"/>
            <w:shd w:val="clear" w:color="auto" w:fill="auto"/>
            <w:noWrap/>
            <w:vAlign w:val="bottom"/>
            <w:hideMark/>
          </w:tcPr>
          <w:p w14:paraId="3E93C4C3" w14:textId="77777777" w:rsidR="00BD4D02" w:rsidRPr="00BD4D02" w:rsidRDefault="00BD4D02" w:rsidP="00BD4D02">
            <w:pPr>
              <w:rPr>
                <w:sz w:val="20"/>
                <w:szCs w:val="20"/>
              </w:rPr>
            </w:pPr>
          </w:p>
        </w:tc>
        <w:tc>
          <w:tcPr>
            <w:tcW w:w="663" w:type="dxa"/>
            <w:shd w:val="clear" w:color="auto" w:fill="auto"/>
            <w:noWrap/>
            <w:vAlign w:val="bottom"/>
            <w:hideMark/>
          </w:tcPr>
          <w:p w14:paraId="45F03299" w14:textId="77777777" w:rsidR="00BD4D02" w:rsidRPr="00BD4D02" w:rsidRDefault="00BD4D02" w:rsidP="00BD4D02">
            <w:pPr>
              <w:rPr>
                <w:sz w:val="20"/>
                <w:szCs w:val="20"/>
              </w:rPr>
            </w:pPr>
          </w:p>
        </w:tc>
        <w:tc>
          <w:tcPr>
            <w:tcW w:w="1180" w:type="dxa"/>
            <w:shd w:val="clear" w:color="auto" w:fill="auto"/>
            <w:noWrap/>
            <w:vAlign w:val="bottom"/>
            <w:hideMark/>
          </w:tcPr>
          <w:p w14:paraId="2AD1F58B"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72572C5F" w14:textId="77777777" w:rsidTr="00050580">
        <w:trPr>
          <w:trHeight w:val="144"/>
        </w:trPr>
        <w:tc>
          <w:tcPr>
            <w:tcW w:w="4500" w:type="dxa"/>
            <w:shd w:val="clear" w:color="auto" w:fill="auto"/>
            <w:noWrap/>
            <w:vAlign w:val="bottom"/>
            <w:hideMark/>
          </w:tcPr>
          <w:p w14:paraId="609C96A8"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Music - downloading</w:t>
            </w:r>
          </w:p>
        </w:tc>
        <w:tc>
          <w:tcPr>
            <w:tcW w:w="770" w:type="dxa"/>
            <w:shd w:val="clear" w:color="auto" w:fill="auto"/>
            <w:noWrap/>
            <w:vAlign w:val="bottom"/>
            <w:hideMark/>
          </w:tcPr>
          <w:p w14:paraId="724C8DDC"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7DEB2129"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406425FE"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5D12641A"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259729B1"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33272286" w14:textId="77777777" w:rsidR="00BD4D02" w:rsidRPr="00BD4D02" w:rsidRDefault="00BD4D02" w:rsidP="00BD4D02">
            <w:pPr>
              <w:rPr>
                <w:sz w:val="20"/>
                <w:szCs w:val="20"/>
              </w:rPr>
            </w:pPr>
          </w:p>
        </w:tc>
        <w:tc>
          <w:tcPr>
            <w:tcW w:w="663" w:type="dxa"/>
            <w:shd w:val="clear" w:color="auto" w:fill="auto"/>
            <w:noWrap/>
            <w:vAlign w:val="bottom"/>
            <w:hideMark/>
          </w:tcPr>
          <w:p w14:paraId="7F64437F" w14:textId="77777777" w:rsidR="00BD4D02" w:rsidRPr="00BD4D02" w:rsidRDefault="00BD4D02" w:rsidP="00BD4D02">
            <w:pPr>
              <w:rPr>
                <w:sz w:val="20"/>
                <w:szCs w:val="20"/>
              </w:rPr>
            </w:pPr>
          </w:p>
        </w:tc>
        <w:tc>
          <w:tcPr>
            <w:tcW w:w="663" w:type="dxa"/>
            <w:shd w:val="clear" w:color="auto" w:fill="auto"/>
            <w:noWrap/>
            <w:vAlign w:val="bottom"/>
            <w:hideMark/>
          </w:tcPr>
          <w:p w14:paraId="447E50A7" w14:textId="77777777" w:rsidR="00BD4D02" w:rsidRPr="00BD4D02" w:rsidRDefault="00BD4D02" w:rsidP="00BD4D02">
            <w:pPr>
              <w:rPr>
                <w:sz w:val="20"/>
                <w:szCs w:val="20"/>
              </w:rPr>
            </w:pPr>
          </w:p>
        </w:tc>
        <w:tc>
          <w:tcPr>
            <w:tcW w:w="663" w:type="dxa"/>
            <w:shd w:val="clear" w:color="auto" w:fill="auto"/>
            <w:noWrap/>
            <w:vAlign w:val="bottom"/>
            <w:hideMark/>
          </w:tcPr>
          <w:p w14:paraId="3CE8F7B3" w14:textId="77777777" w:rsidR="00BD4D02" w:rsidRPr="00BD4D02" w:rsidRDefault="00BD4D02" w:rsidP="00BD4D02">
            <w:pPr>
              <w:rPr>
                <w:sz w:val="20"/>
                <w:szCs w:val="20"/>
              </w:rPr>
            </w:pPr>
          </w:p>
        </w:tc>
        <w:tc>
          <w:tcPr>
            <w:tcW w:w="663" w:type="dxa"/>
            <w:shd w:val="clear" w:color="auto" w:fill="auto"/>
            <w:noWrap/>
            <w:vAlign w:val="bottom"/>
            <w:hideMark/>
          </w:tcPr>
          <w:p w14:paraId="5073707C" w14:textId="77777777" w:rsidR="00BD4D02" w:rsidRPr="00BD4D02" w:rsidRDefault="00BD4D02" w:rsidP="00BD4D02">
            <w:pPr>
              <w:rPr>
                <w:sz w:val="20"/>
                <w:szCs w:val="20"/>
              </w:rPr>
            </w:pPr>
          </w:p>
        </w:tc>
        <w:tc>
          <w:tcPr>
            <w:tcW w:w="663" w:type="dxa"/>
            <w:shd w:val="clear" w:color="auto" w:fill="auto"/>
            <w:noWrap/>
            <w:vAlign w:val="bottom"/>
            <w:hideMark/>
          </w:tcPr>
          <w:p w14:paraId="77AF1272" w14:textId="77777777" w:rsidR="00BD4D02" w:rsidRPr="00BD4D02" w:rsidRDefault="00BD4D02" w:rsidP="00BD4D02">
            <w:pPr>
              <w:rPr>
                <w:sz w:val="20"/>
                <w:szCs w:val="20"/>
              </w:rPr>
            </w:pPr>
          </w:p>
        </w:tc>
        <w:tc>
          <w:tcPr>
            <w:tcW w:w="663" w:type="dxa"/>
            <w:shd w:val="clear" w:color="auto" w:fill="auto"/>
            <w:noWrap/>
            <w:vAlign w:val="bottom"/>
            <w:hideMark/>
          </w:tcPr>
          <w:p w14:paraId="1263919C" w14:textId="77777777" w:rsidR="00BD4D02" w:rsidRPr="00BD4D02" w:rsidRDefault="00BD4D02" w:rsidP="00BD4D02">
            <w:pPr>
              <w:rPr>
                <w:sz w:val="20"/>
                <w:szCs w:val="20"/>
              </w:rPr>
            </w:pPr>
          </w:p>
        </w:tc>
        <w:tc>
          <w:tcPr>
            <w:tcW w:w="1180" w:type="dxa"/>
            <w:shd w:val="clear" w:color="auto" w:fill="auto"/>
            <w:noWrap/>
            <w:vAlign w:val="bottom"/>
            <w:hideMark/>
          </w:tcPr>
          <w:p w14:paraId="10D5BA42"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w:t>
            </w:r>
          </w:p>
        </w:tc>
      </w:tr>
      <w:tr w:rsidR="00BD4D02" w:rsidRPr="00BD4D02" w14:paraId="56F4445F" w14:textId="77777777" w:rsidTr="00050580">
        <w:trPr>
          <w:trHeight w:val="144"/>
        </w:trPr>
        <w:tc>
          <w:tcPr>
            <w:tcW w:w="4500" w:type="dxa"/>
            <w:shd w:val="clear" w:color="auto" w:fill="auto"/>
            <w:noWrap/>
            <w:vAlign w:val="bottom"/>
            <w:hideMark/>
          </w:tcPr>
          <w:p w14:paraId="154E33C6"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Music - downloading/streaming</w:t>
            </w:r>
          </w:p>
        </w:tc>
        <w:tc>
          <w:tcPr>
            <w:tcW w:w="770" w:type="dxa"/>
            <w:shd w:val="clear" w:color="auto" w:fill="auto"/>
            <w:noWrap/>
            <w:vAlign w:val="bottom"/>
            <w:hideMark/>
          </w:tcPr>
          <w:p w14:paraId="7424DEC3"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4582C2A5" w14:textId="77777777" w:rsidR="00BD4D02" w:rsidRPr="00BD4D02" w:rsidRDefault="00BD4D02" w:rsidP="00BD4D02">
            <w:pPr>
              <w:rPr>
                <w:sz w:val="20"/>
                <w:szCs w:val="20"/>
              </w:rPr>
            </w:pPr>
          </w:p>
        </w:tc>
        <w:tc>
          <w:tcPr>
            <w:tcW w:w="663" w:type="dxa"/>
            <w:shd w:val="clear" w:color="auto" w:fill="auto"/>
            <w:noWrap/>
            <w:vAlign w:val="bottom"/>
            <w:hideMark/>
          </w:tcPr>
          <w:p w14:paraId="44720BAF" w14:textId="77777777" w:rsidR="00BD4D02" w:rsidRPr="00BD4D02" w:rsidRDefault="00BD4D02" w:rsidP="00BD4D02">
            <w:pPr>
              <w:rPr>
                <w:sz w:val="20"/>
                <w:szCs w:val="20"/>
              </w:rPr>
            </w:pPr>
          </w:p>
        </w:tc>
        <w:tc>
          <w:tcPr>
            <w:tcW w:w="663" w:type="dxa"/>
            <w:shd w:val="clear" w:color="auto" w:fill="auto"/>
            <w:noWrap/>
            <w:vAlign w:val="bottom"/>
            <w:hideMark/>
          </w:tcPr>
          <w:p w14:paraId="663706F2" w14:textId="77777777" w:rsidR="00BD4D02" w:rsidRPr="00BD4D02" w:rsidRDefault="00BD4D02" w:rsidP="00BD4D02">
            <w:pPr>
              <w:rPr>
                <w:sz w:val="20"/>
                <w:szCs w:val="20"/>
              </w:rPr>
            </w:pPr>
          </w:p>
        </w:tc>
        <w:tc>
          <w:tcPr>
            <w:tcW w:w="663" w:type="dxa"/>
            <w:shd w:val="clear" w:color="auto" w:fill="auto"/>
            <w:noWrap/>
            <w:vAlign w:val="bottom"/>
            <w:hideMark/>
          </w:tcPr>
          <w:p w14:paraId="681271F7"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w:t>
            </w:r>
          </w:p>
        </w:tc>
        <w:tc>
          <w:tcPr>
            <w:tcW w:w="663" w:type="dxa"/>
            <w:shd w:val="clear" w:color="auto" w:fill="auto"/>
            <w:noWrap/>
            <w:vAlign w:val="bottom"/>
            <w:hideMark/>
          </w:tcPr>
          <w:p w14:paraId="26AAFAD5"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086578A7"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37D245C8"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18CBDC74" w14:textId="77777777" w:rsidR="00BD4D02" w:rsidRPr="00BD4D02" w:rsidRDefault="00BD4D02" w:rsidP="00BD4D02">
            <w:pPr>
              <w:rPr>
                <w:sz w:val="20"/>
                <w:szCs w:val="20"/>
              </w:rPr>
            </w:pPr>
          </w:p>
        </w:tc>
        <w:tc>
          <w:tcPr>
            <w:tcW w:w="663" w:type="dxa"/>
            <w:shd w:val="clear" w:color="auto" w:fill="auto"/>
            <w:noWrap/>
            <w:vAlign w:val="bottom"/>
            <w:hideMark/>
          </w:tcPr>
          <w:p w14:paraId="5FD51CF7" w14:textId="77777777" w:rsidR="00BD4D02" w:rsidRPr="00BD4D02" w:rsidRDefault="00BD4D02" w:rsidP="00BD4D02">
            <w:pPr>
              <w:rPr>
                <w:sz w:val="20"/>
                <w:szCs w:val="20"/>
              </w:rPr>
            </w:pPr>
          </w:p>
        </w:tc>
        <w:tc>
          <w:tcPr>
            <w:tcW w:w="663" w:type="dxa"/>
            <w:shd w:val="clear" w:color="auto" w:fill="auto"/>
            <w:noWrap/>
            <w:vAlign w:val="bottom"/>
            <w:hideMark/>
          </w:tcPr>
          <w:p w14:paraId="0DC50CDF" w14:textId="77777777" w:rsidR="00BD4D02" w:rsidRPr="00BD4D02" w:rsidRDefault="00BD4D02" w:rsidP="00BD4D02">
            <w:pPr>
              <w:rPr>
                <w:sz w:val="20"/>
                <w:szCs w:val="20"/>
              </w:rPr>
            </w:pPr>
          </w:p>
        </w:tc>
        <w:tc>
          <w:tcPr>
            <w:tcW w:w="663" w:type="dxa"/>
            <w:shd w:val="clear" w:color="auto" w:fill="auto"/>
            <w:noWrap/>
            <w:vAlign w:val="bottom"/>
            <w:hideMark/>
          </w:tcPr>
          <w:p w14:paraId="5B8B7205" w14:textId="77777777" w:rsidR="00BD4D02" w:rsidRPr="00BD4D02" w:rsidRDefault="00BD4D02" w:rsidP="00BD4D02">
            <w:pPr>
              <w:rPr>
                <w:sz w:val="20"/>
                <w:szCs w:val="20"/>
              </w:rPr>
            </w:pPr>
          </w:p>
        </w:tc>
        <w:tc>
          <w:tcPr>
            <w:tcW w:w="1180" w:type="dxa"/>
            <w:shd w:val="clear" w:color="auto" w:fill="auto"/>
            <w:noWrap/>
            <w:vAlign w:val="bottom"/>
            <w:hideMark/>
          </w:tcPr>
          <w:p w14:paraId="0FA20DB3"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4</w:t>
            </w:r>
          </w:p>
        </w:tc>
      </w:tr>
      <w:tr w:rsidR="00BD4D02" w:rsidRPr="00BD4D02" w14:paraId="47500EF2" w14:textId="77777777" w:rsidTr="00050580">
        <w:trPr>
          <w:trHeight w:val="144"/>
        </w:trPr>
        <w:tc>
          <w:tcPr>
            <w:tcW w:w="4500" w:type="dxa"/>
            <w:shd w:val="clear" w:color="auto" w:fill="auto"/>
            <w:noWrap/>
            <w:vAlign w:val="bottom"/>
            <w:hideMark/>
          </w:tcPr>
          <w:p w14:paraId="73EFE120"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Online TV - % of Canadians</w:t>
            </w:r>
          </w:p>
        </w:tc>
        <w:tc>
          <w:tcPr>
            <w:tcW w:w="770" w:type="dxa"/>
            <w:shd w:val="clear" w:color="auto" w:fill="auto"/>
            <w:noWrap/>
            <w:vAlign w:val="bottom"/>
            <w:hideMark/>
          </w:tcPr>
          <w:p w14:paraId="549C890D"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14429E74"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5AC57CBD"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654F4C2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2E28764A"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614EC8BA" w14:textId="77777777" w:rsidR="00BD4D02" w:rsidRPr="00BD4D02" w:rsidRDefault="00BD4D02" w:rsidP="00BD4D02">
            <w:pPr>
              <w:rPr>
                <w:sz w:val="20"/>
                <w:szCs w:val="20"/>
              </w:rPr>
            </w:pPr>
          </w:p>
        </w:tc>
        <w:tc>
          <w:tcPr>
            <w:tcW w:w="663" w:type="dxa"/>
            <w:shd w:val="clear" w:color="auto" w:fill="auto"/>
            <w:noWrap/>
            <w:vAlign w:val="bottom"/>
            <w:hideMark/>
          </w:tcPr>
          <w:p w14:paraId="26776B3A" w14:textId="77777777" w:rsidR="00BD4D02" w:rsidRPr="00BD4D02" w:rsidRDefault="00BD4D02" w:rsidP="00BD4D02">
            <w:pPr>
              <w:rPr>
                <w:sz w:val="20"/>
                <w:szCs w:val="20"/>
              </w:rPr>
            </w:pPr>
          </w:p>
        </w:tc>
        <w:tc>
          <w:tcPr>
            <w:tcW w:w="663" w:type="dxa"/>
            <w:shd w:val="clear" w:color="auto" w:fill="auto"/>
            <w:noWrap/>
            <w:vAlign w:val="bottom"/>
            <w:hideMark/>
          </w:tcPr>
          <w:p w14:paraId="4E5959E0"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54D9BCFE"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40343537"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2DEA49C3"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101C7BF5"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1180" w:type="dxa"/>
            <w:shd w:val="clear" w:color="auto" w:fill="auto"/>
            <w:noWrap/>
            <w:vAlign w:val="bottom"/>
            <w:hideMark/>
          </w:tcPr>
          <w:p w14:paraId="2FCC2FBC"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10</w:t>
            </w:r>
          </w:p>
        </w:tc>
      </w:tr>
      <w:tr w:rsidR="00BD4D02" w:rsidRPr="00BD4D02" w14:paraId="7C49625A" w14:textId="77777777" w:rsidTr="00050580">
        <w:trPr>
          <w:trHeight w:val="144"/>
        </w:trPr>
        <w:tc>
          <w:tcPr>
            <w:tcW w:w="4500" w:type="dxa"/>
            <w:shd w:val="clear" w:color="auto" w:fill="auto"/>
            <w:noWrap/>
            <w:vAlign w:val="bottom"/>
            <w:hideMark/>
          </w:tcPr>
          <w:p w14:paraId="655A36F9"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Product life cycle</w:t>
            </w:r>
          </w:p>
        </w:tc>
        <w:tc>
          <w:tcPr>
            <w:tcW w:w="770" w:type="dxa"/>
            <w:shd w:val="clear" w:color="auto" w:fill="auto"/>
            <w:noWrap/>
            <w:vAlign w:val="bottom"/>
            <w:hideMark/>
          </w:tcPr>
          <w:p w14:paraId="50FBDF39"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69AF75B5"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0B437F18"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376F6322"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473AD7A8"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37702CBC"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657106EE" w14:textId="77777777" w:rsidR="00BD4D02" w:rsidRPr="00BD4D02" w:rsidRDefault="00BD4D02" w:rsidP="00BD4D02">
            <w:pPr>
              <w:rPr>
                <w:sz w:val="20"/>
                <w:szCs w:val="20"/>
              </w:rPr>
            </w:pPr>
          </w:p>
        </w:tc>
        <w:tc>
          <w:tcPr>
            <w:tcW w:w="663" w:type="dxa"/>
            <w:shd w:val="clear" w:color="auto" w:fill="auto"/>
            <w:noWrap/>
            <w:vAlign w:val="bottom"/>
            <w:hideMark/>
          </w:tcPr>
          <w:p w14:paraId="3C23C21C" w14:textId="77777777" w:rsidR="00BD4D02" w:rsidRPr="00BD4D02" w:rsidRDefault="00BD4D02" w:rsidP="00BD4D02">
            <w:pPr>
              <w:rPr>
                <w:sz w:val="20"/>
                <w:szCs w:val="20"/>
              </w:rPr>
            </w:pPr>
          </w:p>
        </w:tc>
        <w:tc>
          <w:tcPr>
            <w:tcW w:w="663" w:type="dxa"/>
            <w:shd w:val="clear" w:color="auto" w:fill="auto"/>
            <w:noWrap/>
            <w:vAlign w:val="bottom"/>
            <w:hideMark/>
          </w:tcPr>
          <w:p w14:paraId="42DA8A5B" w14:textId="77777777" w:rsidR="00BD4D02" w:rsidRPr="00BD4D02" w:rsidRDefault="00BD4D02" w:rsidP="00BD4D02">
            <w:pPr>
              <w:rPr>
                <w:sz w:val="20"/>
                <w:szCs w:val="20"/>
              </w:rPr>
            </w:pPr>
          </w:p>
        </w:tc>
        <w:tc>
          <w:tcPr>
            <w:tcW w:w="663" w:type="dxa"/>
            <w:shd w:val="clear" w:color="auto" w:fill="auto"/>
            <w:noWrap/>
            <w:vAlign w:val="bottom"/>
            <w:hideMark/>
          </w:tcPr>
          <w:p w14:paraId="54FAAB43" w14:textId="77777777" w:rsidR="00BD4D02" w:rsidRPr="00BD4D02" w:rsidRDefault="00BD4D02" w:rsidP="00BD4D02">
            <w:pPr>
              <w:rPr>
                <w:sz w:val="20"/>
                <w:szCs w:val="20"/>
              </w:rPr>
            </w:pPr>
          </w:p>
        </w:tc>
        <w:tc>
          <w:tcPr>
            <w:tcW w:w="663" w:type="dxa"/>
            <w:shd w:val="clear" w:color="auto" w:fill="auto"/>
            <w:noWrap/>
            <w:vAlign w:val="bottom"/>
            <w:hideMark/>
          </w:tcPr>
          <w:p w14:paraId="2F88F9E4" w14:textId="77777777" w:rsidR="00BD4D02" w:rsidRPr="00BD4D02" w:rsidRDefault="00BD4D02" w:rsidP="00BD4D02">
            <w:pPr>
              <w:rPr>
                <w:sz w:val="20"/>
                <w:szCs w:val="20"/>
              </w:rPr>
            </w:pPr>
          </w:p>
        </w:tc>
        <w:tc>
          <w:tcPr>
            <w:tcW w:w="663" w:type="dxa"/>
            <w:shd w:val="clear" w:color="auto" w:fill="auto"/>
            <w:noWrap/>
            <w:vAlign w:val="bottom"/>
            <w:hideMark/>
          </w:tcPr>
          <w:p w14:paraId="34E75D6C" w14:textId="77777777" w:rsidR="00BD4D02" w:rsidRPr="00BD4D02" w:rsidRDefault="00BD4D02" w:rsidP="00BD4D02">
            <w:pPr>
              <w:rPr>
                <w:sz w:val="20"/>
                <w:szCs w:val="20"/>
              </w:rPr>
            </w:pPr>
          </w:p>
        </w:tc>
        <w:tc>
          <w:tcPr>
            <w:tcW w:w="1180" w:type="dxa"/>
            <w:shd w:val="clear" w:color="auto" w:fill="auto"/>
            <w:noWrap/>
            <w:vAlign w:val="bottom"/>
            <w:hideMark/>
          </w:tcPr>
          <w:p w14:paraId="2AF7B78D"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5</w:t>
            </w:r>
          </w:p>
        </w:tc>
      </w:tr>
      <w:tr w:rsidR="00BD4D02" w:rsidRPr="00BD4D02" w14:paraId="2080E6DE" w14:textId="77777777" w:rsidTr="00050580">
        <w:trPr>
          <w:trHeight w:val="144"/>
        </w:trPr>
        <w:tc>
          <w:tcPr>
            <w:tcW w:w="4500" w:type="dxa"/>
            <w:shd w:val="clear" w:color="auto" w:fill="auto"/>
            <w:noWrap/>
            <w:vAlign w:val="bottom"/>
            <w:hideMark/>
          </w:tcPr>
          <w:p w14:paraId="264F1780"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Radio - podcasts</w:t>
            </w:r>
          </w:p>
        </w:tc>
        <w:tc>
          <w:tcPr>
            <w:tcW w:w="770" w:type="dxa"/>
            <w:shd w:val="clear" w:color="auto" w:fill="auto"/>
            <w:noWrap/>
            <w:vAlign w:val="bottom"/>
            <w:hideMark/>
          </w:tcPr>
          <w:p w14:paraId="43454644"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53A58474" w14:textId="77777777" w:rsidR="00BD4D02" w:rsidRPr="00BD4D02" w:rsidRDefault="00BD4D02" w:rsidP="00BD4D02">
            <w:pPr>
              <w:rPr>
                <w:sz w:val="20"/>
                <w:szCs w:val="20"/>
              </w:rPr>
            </w:pPr>
          </w:p>
        </w:tc>
        <w:tc>
          <w:tcPr>
            <w:tcW w:w="663" w:type="dxa"/>
            <w:shd w:val="clear" w:color="auto" w:fill="auto"/>
            <w:noWrap/>
            <w:vAlign w:val="bottom"/>
            <w:hideMark/>
          </w:tcPr>
          <w:p w14:paraId="0FD7499C" w14:textId="77777777" w:rsidR="00BD4D02" w:rsidRPr="00BD4D02" w:rsidRDefault="00BD4D02" w:rsidP="00BD4D02">
            <w:pPr>
              <w:rPr>
                <w:sz w:val="20"/>
                <w:szCs w:val="20"/>
              </w:rPr>
            </w:pPr>
          </w:p>
        </w:tc>
        <w:tc>
          <w:tcPr>
            <w:tcW w:w="663" w:type="dxa"/>
            <w:shd w:val="clear" w:color="auto" w:fill="auto"/>
            <w:noWrap/>
            <w:vAlign w:val="bottom"/>
            <w:hideMark/>
          </w:tcPr>
          <w:p w14:paraId="512F95A0" w14:textId="77777777" w:rsidR="00BD4D02" w:rsidRPr="00BD4D02" w:rsidRDefault="00BD4D02" w:rsidP="00BD4D02">
            <w:pPr>
              <w:rPr>
                <w:sz w:val="20"/>
                <w:szCs w:val="20"/>
              </w:rPr>
            </w:pPr>
          </w:p>
        </w:tc>
        <w:tc>
          <w:tcPr>
            <w:tcW w:w="663" w:type="dxa"/>
            <w:shd w:val="clear" w:color="auto" w:fill="auto"/>
            <w:noWrap/>
            <w:vAlign w:val="bottom"/>
            <w:hideMark/>
          </w:tcPr>
          <w:p w14:paraId="298BFE8E"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7AB168D8"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03102FD1" w14:textId="77777777" w:rsidR="00BD4D02" w:rsidRPr="00BD4D02" w:rsidRDefault="00BD4D02" w:rsidP="00BD4D02">
            <w:pPr>
              <w:rPr>
                <w:sz w:val="20"/>
                <w:szCs w:val="20"/>
              </w:rPr>
            </w:pPr>
          </w:p>
        </w:tc>
        <w:tc>
          <w:tcPr>
            <w:tcW w:w="663" w:type="dxa"/>
            <w:shd w:val="clear" w:color="auto" w:fill="auto"/>
            <w:noWrap/>
            <w:vAlign w:val="bottom"/>
            <w:hideMark/>
          </w:tcPr>
          <w:p w14:paraId="1F071675" w14:textId="77777777" w:rsidR="00BD4D02" w:rsidRPr="00BD4D02" w:rsidRDefault="00BD4D02" w:rsidP="00BD4D02">
            <w:pPr>
              <w:rPr>
                <w:sz w:val="20"/>
                <w:szCs w:val="20"/>
              </w:rPr>
            </w:pPr>
          </w:p>
        </w:tc>
        <w:tc>
          <w:tcPr>
            <w:tcW w:w="663" w:type="dxa"/>
            <w:shd w:val="clear" w:color="auto" w:fill="auto"/>
            <w:noWrap/>
            <w:vAlign w:val="bottom"/>
            <w:hideMark/>
          </w:tcPr>
          <w:p w14:paraId="6DF53C74" w14:textId="77777777" w:rsidR="00BD4D02" w:rsidRPr="00BD4D02" w:rsidRDefault="00BD4D02" w:rsidP="00BD4D02">
            <w:pPr>
              <w:rPr>
                <w:sz w:val="20"/>
                <w:szCs w:val="20"/>
              </w:rPr>
            </w:pPr>
          </w:p>
        </w:tc>
        <w:tc>
          <w:tcPr>
            <w:tcW w:w="663" w:type="dxa"/>
            <w:shd w:val="clear" w:color="auto" w:fill="auto"/>
            <w:noWrap/>
            <w:vAlign w:val="bottom"/>
            <w:hideMark/>
          </w:tcPr>
          <w:p w14:paraId="741D1696" w14:textId="77777777" w:rsidR="00BD4D02" w:rsidRPr="00BD4D02" w:rsidRDefault="00BD4D02" w:rsidP="00BD4D02">
            <w:pPr>
              <w:rPr>
                <w:sz w:val="20"/>
                <w:szCs w:val="20"/>
              </w:rPr>
            </w:pPr>
          </w:p>
        </w:tc>
        <w:tc>
          <w:tcPr>
            <w:tcW w:w="663" w:type="dxa"/>
            <w:shd w:val="clear" w:color="auto" w:fill="auto"/>
            <w:noWrap/>
            <w:vAlign w:val="bottom"/>
            <w:hideMark/>
          </w:tcPr>
          <w:p w14:paraId="1AF880CA" w14:textId="77777777" w:rsidR="00BD4D02" w:rsidRPr="00BD4D02" w:rsidRDefault="00BD4D02" w:rsidP="00BD4D02">
            <w:pPr>
              <w:rPr>
                <w:sz w:val="20"/>
                <w:szCs w:val="20"/>
              </w:rPr>
            </w:pPr>
          </w:p>
        </w:tc>
        <w:tc>
          <w:tcPr>
            <w:tcW w:w="663" w:type="dxa"/>
            <w:shd w:val="clear" w:color="auto" w:fill="auto"/>
            <w:noWrap/>
            <w:vAlign w:val="bottom"/>
            <w:hideMark/>
          </w:tcPr>
          <w:p w14:paraId="4A718871" w14:textId="77777777" w:rsidR="00BD4D02" w:rsidRPr="00BD4D02" w:rsidRDefault="00BD4D02" w:rsidP="00BD4D02">
            <w:pPr>
              <w:rPr>
                <w:sz w:val="20"/>
                <w:szCs w:val="20"/>
              </w:rPr>
            </w:pPr>
          </w:p>
        </w:tc>
        <w:tc>
          <w:tcPr>
            <w:tcW w:w="1180" w:type="dxa"/>
            <w:shd w:val="clear" w:color="auto" w:fill="auto"/>
            <w:noWrap/>
            <w:vAlign w:val="bottom"/>
            <w:hideMark/>
          </w:tcPr>
          <w:p w14:paraId="008C46B3"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6EFFEBB9" w14:textId="77777777" w:rsidTr="00050580">
        <w:trPr>
          <w:trHeight w:val="144"/>
        </w:trPr>
        <w:tc>
          <w:tcPr>
            <w:tcW w:w="4500" w:type="dxa"/>
            <w:shd w:val="clear" w:color="auto" w:fill="auto"/>
            <w:noWrap/>
            <w:vAlign w:val="bottom"/>
            <w:hideMark/>
          </w:tcPr>
          <w:p w14:paraId="0C25A214"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Radio - streaming</w:t>
            </w:r>
          </w:p>
        </w:tc>
        <w:tc>
          <w:tcPr>
            <w:tcW w:w="770" w:type="dxa"/>
            <w:shd w:val="clear" w:color="auto" w:fill="auto"/>
            <w:noWrap/>
            <w:vAlign w:val="bottom"/>
            <w:hideMark/>
          </w:tcPr>
          <w:p w14:paraId="1AC78690"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7382015D"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5D7B3413"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5A8992B2"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6ACD8FAD"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6B0DD7F5" w14:textId="77777777" w:rsidR="00BD4D02" w:rsidRPr="00BD4D02" w:rsidRDefault="00BD4D02" w:rsidP="00BD4D02">
            <w:pPr>
              <w:rPr>
                <w:sz w:val="20"/>
                <w:szCs w:val="20"/>
              </w:rPr>
            </w:pPr>
          </w:p>
        </w:tc>
        <w:tc>
          <w:tcPr>
            <w:tcW w:w="663" w:type="dxa"/>
            <w:shd w:val="clear" w:color="auto" w:fill="auto"/>
            <w:noWrap/>
            <w:vAlign w:val="bottom"/>
            <w:hideMark/>
          </w:tcPr>
          <w:p w14:paraId="0D22B271" w14:textId="77777777" w:rsidR="00BD4D02" w:rsidRPr="00BD4D02" w:rsidRDefault="00BD4D02" w:rsidP="00BD4D02">
            <w:pPr>
              <w:rPr>
                <w:sz w:val="20"/>
                <w:szCs w:val="20"/>
              </w:rPr>
            </w:pPr>
          </w:p>
        </w:tc>
        <w:tc>
          <w:tcPr>
            <w:tcW w:w="663" w:type="dxa"/>
            <w:shd w:val="clear" w:color="auto" w:fill="auto"/>
            <w:noWrap/>
            <w:vAlign w:val="bottom"/>
            <w:hideMark/>
          </w:tcPr>
          <w:p w14:paraId="072443D7" w14:textId="77777777" w:rsidR="00BD4D02" w:rsidRPr="00BD4D02" w:rsidRDefault="00BD4D02" w:rsidP="00BD4D02">
            <w:pPr>
              <w:rPr>
                <w:sz w:val="20"/>
                <w:szCs w:val="20"/>
              </w:rPr>
            </w:pPr>
          </w:p>
        </w:tc>
        <w:tc>
          <w:tcPr>
            <w:tcW w:w="663" w:type="dxa"/>
            <w:shd w:val="clear" w:color="auto" w:fill="auto"/>
            <w:noWrap/>
            <w:vAlign w:val="bottom"/>
            <w:hideMark/>
          </w:tcPr>
          <w:p w14:paraId="154B37B8" w14:textId="77777777" w:rsidR="00BD4D02" w:rsidRPr="00BD4D02" w:rsidRDefault="00BD4D02" w:rsidP="00BD4D02">
            <w:pPr>
              <w:rPr>
                <w:sz w:val="20"/>
                <w:szCs w:val="20"/>
              </w:rPr>
            </w:pPr>
          </w:p>
        </w:tc>
        <w:tc>
          <w:tcPr>
            <w:tcW w:w="663" w:type="dxa"/>
            <w:shd w:val="clear" w:color="auto" w:fill="auto"/>
            <w:noWrap/>
            <w:vAlign w:val="bottom"/>
            <w:hideMark/>
          </w:tcPr>
          <w:p w14:paraId="01A5528F" w14:textId="77777777" w:rsidR="00BD4D02" w:rsidRPr="00BD4D02" w:rsidRDefault="00BD4D02" w:rsidP="00BD4D02">
            <w:pPr>
              <w:rPr>
                <w:sz w:val="20"/>
                <w:szCs w:val="20"/>
              </w:rPr>
            </w:pPr>
          </w:p>
        </w:tc>
        <w:tc>
          <w:tcPr>
            <w:tcW w:w="663" w:type="dxa"/>
            <w:shd w:val="clear" w:color="auto" w:fill="auto"/>
            <w:noWrap/>
            <w:vAlign w:val="bottom"/>
            <w:hideMark/>
          </w:tcPr>
          <w:p w14:paraId="3E5CDAB7" w14:textId="77777777" w:rsidR="00BD4D02" w:rsidRPr="00BD4D02" w:rsidRDefault="00BD4D02" w:rsidP="00BD4D02">
            <w:pPr>
              <w:rPr>
                <w:sz w:val="20"/>
                <w:szCs w:val="20"/>
              </w:rPr>
            </w:pPr>
          </w:p>
        </w:tc>
        <w:tc>
          <w:tcPr>
            <w:tcW w:w="663" w:type="dxa"/>
            <w:shd w:val="clear" w:color="auto" w:fill="auto"/>
            <w:noWrap/>
            <w:vAlign w:val="bottom"/>
            <w:hideMark/>
          </w:tcPr>
          <w:p w14:paraId="0B3F831D" w14:textId="77777777" w:rsidR="00BD4D02" w:rsidRPr="00BD4D02" w:rsidRDefault="00BD4D02" w:rsidP="00BD4D02">
            <w:pPr>
              <w:rPr>
                <w:sz w:val="20"/>
                <w:szCs w:val="20"/>
              </w:rPr>
            </w:pPr>
          </w:p>
        </w:tc>
        <w:tc>
          <w:tcPr>
            <w:tcW w:w="1180" w:type="dxa"/>
            <w:shd w:val="clear" w:color="auto" w:fill="auto"/>
            <w:noWrap/>
            <w:vAlign w:val="bottom"/>
            <w:hideMark/>
          </w:tcPr>
          <w:p w14:paraId="1E95AC4E"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w:t>
            </w:r>
          </w:p>
        </w:tc>
      </w:tr>
      <w:tr w:rsidR="00BD4D02" w:rsidRPr="00BD4D02" w14:paraId="222D73FC" w14:textId="77777777" w:rsidTr="00050580">
        <w:trPr>
          <w:trHeight w:val="144"/>
        </w:trPr>
        <w:tc>
          <w:tcPr>
            <w:tcW w:w="4500" w:type="dxa"/>
            <w:shd w:val="clear" w:color="auto" w:fill="auto"/>
            <w:noWrap/>
            <w:vAlign w:val="bottom"/>
            <w:hideMark/>
          </w:tcPr>
          <w:p w14:paraId="6B030BAB"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lastRenderedPageBreak/>
              <w:t>Subscribers/</w:t>
            </w:r>
            <w:proofErr w:type="spellStart"/>
            <w:r w:rsidRPr="00BD4D02">
              <w:rPr>
                <w:rFonts w:ascii="Calibri" w:hAnsi="Calibri" w:cs="Calibri"/>
                <w:color w:val="000000"/>
                <w:sz w:val="20"/>
                <w:szCs w:val="20"/>
              </w:rPr>
              <w:t>subsciptions</w:t>
            </w:r>
            <w:proofErr w:type="spellEnd"/>
          </w:p>
        </w:tc>
        <w:tc>
          <w:tcPr>
            <w:tcW w:w="770" w:type="dxa"/>
            <w:shd w:val="clear" w:color="auto" w:fill="auto"/>
            <w:noWrap/>
            <w:vAlign w:val="bottom"/>
            <w:hideMark/>
          </w:tcPr>
          <w:p w14:paraId="6EE39BE0"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2CDFCAD9"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2075C505"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611410A7"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w:t>
            </w:r>
          </w:p>
        </w:tc>
        <w:tc>
          <w:tcPr>
            <w:tcW w:w="663" w:type="dxa"/>
            <w:shd w:val="clear" w:color="auto" w:fill="auto"/>
            <w:noWrap/>
            <w:vAlign w:val="bottom"/>
            <w:hideMark/>
          </w:tcPr>
          <w:p w14:paraId="59CFCD94"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4</w:t>
            </w:r>
          </w:p>
        </w:tc>
        <w:tc>
          <w:tcPr>
            <w:tcW w:w="663" w:type="dxa"/>
            <w:shd w:val="clear" w:color="auto" w:fill="auto"/>
            <w:noWrap/>
            <w:vAlign w:val="bottom"/>
            <w:hideMark/>
          </w:tcPr>
          <w:p w14:paraId="140E8AB9"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5</w:t>
            </w:r>
          </w:p>
        </w:tc>
        <w:tc>
          <w:tcPr>
            <w:tcW w:w="663" w:type="dxa"/>
            <w:shd w:val="clear" w:color="auto" w:fill="auto"/>
            <w:noWrap/>
            <w:vAlign w:val="bottom"/>
            <w:hideMark/>
          </w:tcPr>
          <w:p w14:paraId="0CEC9A86"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6</w:t>
            </w:r>
          </w:p>
        </w:tc>
        <w:tc>
          <w:tcPr>
            <w:tcW w:w="663" w:type="dxa"/>
            <w:shd w:val="clear" w:color="auto" w:fill="auto"/>
            <w:noWrap/>
            <w:vAlign w:val="bottom"/>
            <w:hideMark/>
          </w:tcPr>
          <w:p w14:paraId="6BF0CCCF"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4</w:t>
            </w:r>
          </w:p>
        </w:tc>
        <w:tc>
          <w:tcPr>
            <w:tcW w:w="663" w:type="dxa"/>
            <w:shd w:val="clear" w:color="auto" w:fill="auto"/>
            <w:noWrap/>
            <w:vAlign w:val="bottom"/>
            <w:hideMark/>
          </w:tcPr>
          <w:p w14:paraId="0FEE220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4</w:t>
            </w:r>
          </w:p>
        </w:tc>
        <w:tc>
          <w:tcPr>
            <w:tcW w:w="663" w:type="dxa"/>
            <w:shd w:val="clear" w:color="auto" w:fill="auto"/>
            <w:noWrap/>
            <w:vAlign w:val="bottom"/>
            <w:hideMark/>
          </w:tcPr>
          <w:p w14:paraId="3D9B3D2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4</w:t>
            </w:r>
          </w:p>
        </w:tc>
        <w:tc>
          <w:tcPr>
            <w:tcW w:w="663" w:type="dxa"/>
            <w:shd w:val="clear" w:color="auto" w:fill="auto"/>
            <w:noWrap/>
            <w:vAlign w:val="bottom"/>
            <w:hideMark/>
          </w:tcPr>
          <w:p w14:paraId="078500BF"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147A462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1180" w:type="dxa"/>
            <w:shd w:val="clear" w:color="auto" w:fill="auto"/>
            <w:noWrap/>
            <w:vAlign w:val="bottom"/>
            <w:hideMark/>
          </w:tcPr>
          <w:p w14:paraId="31E10FF2"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39</w:t>
            </w:r>
          </w:p>
        </w:tc>
      </w:tr>
      <w:tr w:rsidR="00BD4D02" w:rsidRPr="00BD4D02" w14:paraId="18217E81" w14:textId="77777777" w:rsidTr="00050580">
        <w:trPr>
          <w:trHeight w:val="144"/>
        </w:trPr>
        <w:tc>
          <w:tcPr>
            <w:tcW w:w="4500" w:type="dxa"/>
            <w:shd w:val="clear" w:color="auto" w:fill="auto"/>
            <w:noWrap/>
            <w:vAlign w:val="bottom"/>
            <w:hideMark/>
          </w:tcPr>
          <w:p w14:paraId="44C73F72"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Subscriptions - Netflix</w:t>
            </w:r>
          </w:p>
        </w:tc>
        <w:tc>
          <w:tcPr>
            <w:tcW w:w="770" w:type="dxa"/>
            <w:shd w:val="clear" w:color="auto" w:fill="auto"/>
            <w:noWrap/>
            <w:vAlign w:val="bottom"/>
            <w:hideMark/>
          </w:tcPr>
          <w:p w14:paraId="2AD9DB65"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02C28983" w14:textId="77777777" w:rsidR="00BD4D02" w:rsidRPr="00BD4D02" w:rsidRDefault="00BD4D02" w:rsidP="00BD4D02">
            <w:pPr>
              <w:rPr>
                <w:sz w:val="20"/>
                <w:szCs w:val="20"/>
              </w:rPr>
            </w:pPr>
          </w:p>
        </w:tc>
        <w:tc>
          <w:tcPr>
            <w:tcW w:w="663" w:type="dxa"/>
            <w:shd w:val="clear" w:color="auto" w:fill="auto"/>
            <w:noWrap/>
            <w:vAlign w:val="bottom"/>
            <w:hideMark/>
          </w:tcPr>
          <w:p w14:paraId="7C221591" w14:textId="77777777" w:rsidR="00BD4D02" w:rsidRPr="00BD4D02" w:rsidRDefault="00BD4D02" w:rsidP="00BD4D02">
            <w:pPr>
              <w:rPr>
                <w:sz w:val="20"/>
                <w:szCs w:val="20"/>
              </w:rPr>
            </w:pPr>
          </w:p>
        </w:tc>
        <w:tc>
          <w:tcPr>
            <w:tcW w:w="663" w:type="dxa"/>
            <w:shd w:val="clear" w:color="auto" w:fill="auto"/>
            <w:noWrap/>
            <w:vAlign w:val="bottom"/>
            <w:hideMark/>
          </w:tcPr>
          <w:p w14:paraId="42A2579C" w14:textId="77777777" w:rsidR="00BD4D02" w:rsidRPr="00BD4D02" w:rsidRDefault="00BD4D02" w:rsidP="00BD4D02">
            <w:pPr>
              <w:rPr>
                <w:sz w:val="20"/>
                <w:szCs w:val="20"/>
              </w:rPr>
            </w:pPr>
          </w:p>
        </w:tc>
        <w:tc>
          <w:tcPr>
            <w:tcW w:w="663" w:type="dxa"/>
            <w:shd w:val="clear" w:color="auto" w:fill="auto"/>
            <w:noWrap/>
            <w:vAlign w:val="bottom"/>
            <w:hideMark/>
          </w:tcPr>
          <w:p w14:paraId="6907D6DC"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6CCA91EE"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324D59C3" w14:textId="77777777" w:rsidR="00BD4D02" w:rsidRPr="00BD4D02" w:rsidRDefault="00BD4D02" w:rsidP="00BD4D02">
            <w:pPr>
              <w:rPr>
                <w:sz w:val="20"/>
                <w:szCs w:val="20"/>
              </w:rPr>
            </w:pPr>
          </w:p>
        </w:tc>
        <w:tc>
          <w:tcPr>
            <w:tcW w:w="663" w:type="dxa"/>
            <w:shd w:val="clear" w:color="auto" w:fill="auto"/>
            <w:noWrap/>
            <w:vAlign w:val="bottom"/>
            <w:hideMark/>
          </w:tcPr>
          <w:p w14:paraId="5C7962E2" w14:textId="77777777" w:rsidR="00BD4D02" w:rsidRPr="00BD4D02" w:rsidRDefault="00BD4D02" w:rsidP="00BD4D02">
            <w:pPr>
              <w:rPr>
                <w:sz w:val="20"/>
                <w:szCs w:val="20"/>
              </w:rPr>
            </w:pPr>
          </w:p>
        </w:tc>
        <w:tc>
          <w:tcPr>
            <w:tcW w:w="663" w:type="dxa"/>
            <w:shd w:val="clear" w:color="auto" w:fill="auto"/>
            <w:noWrap/>
            <w:vAlign w:val="bottom"/>
            <w:hideMark/>
          </w:tcPr>
          <w:p w14:paraId="37D35829" w14:textId="77777777" w:rsidR="00BD4D02" w:rsidRPr="00BD4D02" w:rsidRDefault="00BD4D02" w:rsidP="00BD4D02">
            <w:pPr>
              <w:rPr>
                <w:sz w:val="20"/>
                <w:szCs w:val="20"/>
              </w:rPr>
            </w:pPr>
          </w:p>
        </w:tc>
        <w:tc>
          <w:tcPr>
            <w:tcW w:w="663" w:type="dxa"/>
            <w:shd w:val="clear" w:color="auto" w:fill="auto"/>
            <w:noWrap/>
            <w:vAlign w:val="bottom"/>
            <w:hideMark/>
          </w:tcPr>
          <w:p w14:paraId="41E9F17D" w14:textId="77777777" w:rsidR="00BD4D02" w:rsidRPr="00BD4D02" w:rsidRDefault="00BD4D02" w:rsidP="00BD4D02">
            <w:pPr>
              <w:rPr>
                <w:sz w:val="20"/>
                <w:szCs w:val="20"/>
              </w:rPr>
            </w:pPr>
          </w:p>
        </w:tc>
        <w:tc>
          <w:tcPr>
            <w:tcW w:w="663" w:type="dxa"/>
            <w:shd w:val="clear" w:color="auto" w:fill="auto"/>
            <w:noWrap/>
            <w:vAlign w:val="bottom"/>
            <w:hideMark/>
          </w:tcPr>
          <w:p w14:paraId="46E22505" w14:textId="77777777" w:rsidR="00BD4D02" w:rsidRPr="00BD4D02" w:rsidRDefault="00BD4D02" w:rsidP="00BD4D02">
            <w:pPr>
              <w:rPr>
                <w:sz w:val="20"/>
                <w:szCs w:val="20"/>
              </w:rPr>
            </w:pPr>
          </w:p>
        </w:tc>
        <w:tc>
          <w:tcPr>
            <w:tcW w:w="663" w:type="dxa"/>
            <w:shd w:val="clear" w:color="auto" w:fill="auto"/>
            <w:noWrap/>
            <w:vAlign w:val="bottom"/>
            <w:hideMark/>
          </w:tcPr>
          <w:p w14:paraId="6CB31E22" w14:textId="77777777" w:rsidR="00BD4D02" w:rsidRPr="00BD4D02" w:rsidRDefault="00BD4D02" w:rsidP="00BD4D02">
            <w:pPr>
              <w:rPr>
                <w:sz w:val="20"/>
                <w:szCs w:val="20"/>
              </w:rPr>
            </w:pPr>
          </w:p>
        </w:tc>
        <w:tc>
          <w:tcPr>
            <w:tcW w:w="1180" w:type="dxa"/>
            <w:shd w:val="clear" w:color="auto" w:fill="auto"/>
            <w:noWrap/>
            <w:vAlign w:val="bottom"/>
            <w:hideMark/>
          </w:tcPr>
          <w:p w14:paraId="2E97FF14"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71EB278C" w14:textId="77777777" w:rsidTr="00050580">
        <w:trPr>
          <w:trHeight w:val="144"/>
        </w:trPr>
        <w:tc>
          <w:tcPr>
            <w:tcW w:w="4500" w:type="dxa"/>
            <w:shd w:val="clear" w:color="auto" w:fill="auto"/>
            <w:noWrap/>
            <w:vAlign w:val="bottom"/>
            <w:hideMark/>
          </w:tcPr>
          <w:p w14:paraId="57FEE557"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Technologies - audio</w:t>
            </w:r>
          </w:p>
        </w:tc>
        <w:tc>
          <w:tcPr>
            <w:tcW w:w="770" w:type="dxa"/>
            <w:shd w:val="clear" w:color="auto" w:fill="auto"/>
            <w:noWrap/>
            <w:vAlign w:val="bottom"/>
            <w:hideMark/>
          </w:tcPr>
          <w:p w14:paraId="68B12992"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6F94C69D"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3994698D" w14:textId="77777777" w:rsidR="00BD4D02" w:rsidRPr="00BD4D02" w:rsidRDefault="00BD4D02" w:rsidP="00BD4D02">
            <w:pPr>
              <w:rPr>
                <w:sz w:val="20"/>
                <w:szCs w:val="20"/>
              </w:rPr>
            </w:pPr>
          </w:p>
        </w:tc>
        <w:tc>
          <w:tcPr>
            <w:tcW w:w="663" w:type="dxa"/>
            <w:shd w:val="clear" w:color="auto" w:fill="auto"/>
            <w:noWrap/>
            <w:vAlign w:val="bottom"/>
            <w:hideMark/>
          </w:tcPr>
          <w:p w14:paraId="0DA20B16" w14:textId="77777777" w:rsidR="00BD4D02" w:rsidRPr="00BD4D02" w:rsidRDefault="00BD4D02" w:rsidP="00BD4D02">
            <w:pPr>
              <w:rPr>
                <w:sz w:val="20"/>
                <w:szCs w:val="20"/>
              </w:rPr>
            </w:pPr>
          </w:p>
        </w:tc>
        <w:tc>
          <w:tcPr>
            <w:tcW w:w="663" w:type="dxa"/>
            <w:shd w:val="clear" w:color="auto" w:fill="auto"/>
            <w:noWrap/>
            <w:vAlign w:val="bottom"/>
            <w:hideMark/>
          </w:tcPr>
          <w:p w14:paraId="1C8FFBB3" w14:textId="77777777" w:rsidR="00BD4D02" w:rsidRPr="00BD4D02" w:rsidRDefault="00BD4D02" w:rsidP="00BD4D02">
            <w:pPr>
              <w:rPr>
                <w:sz w:val="20"/>
                <w:szCs w:val="20"/>
              </w:rPr>
            </w:pPr>
          </w:p>
        </w:tc>
        <w:tc>
          <w:tcPr>
            <w:tcW w:w="663" w:type="dxa"/>
            <w:shd w:val="clear" w:color="auto" w:fill="auto"/>
            <w:noWrap/>
            <w:vAlign w:val="bottom"/>
            <w:hideMark/>
          </w:tcPr>
          <w:p w14:paraId="5AB7B80D" w14:textId="77777777" w:rsidR="00BD4D02" w:rsidRPr="00BD4D02" w:rsidRDefault="00BD4D02" w:rsidP="00BD4D02">
            <w:pPr>
              <w:rPr>
                <w:sz w:val="20"/>
                <w:szCs w:val="20"/>
              </w:rPr>
            </w:pPr>
          </w:p>
        </w:tc>
        <w:tc>
          <w:tcPr>
            <w:tcW w:w="663" w:type="dxa"/>
            <w:shd w:val="clear" w:color="auto" w:fill="auto"/>
            <w:noWrap/>
            <w:vAlign w:val="bottom"/>
            <w:hideMark/>
          </w:tcPr>
          <w:p w14:paraId="551CA323" w14:textId="77777777" w:rsidR="00BD4D02" w:rsidRPr="00BD4D02" w:rsidRDefault="00BD4D02" w:rsidP="00BD4D02">
            <w:pPr>
              <w:rPr>
                <w:sz w:val="20"/>
                <w:szCs w:val="20"/>
              </w:rPr>
            </w:pPr>
          </w:p>
        </w:tc>
        <w:tc>
          <w:tcPr>
            <w:tcW w:w="663" w:type="dxa"/>
            <w:shd w:val="clear" w:color="auto" w:fill="auto"/>
            <w:noWrap/>
            <w:vAlign w:val="bottom"/>
            <w:hideMark/>
          </w:tcPr>
          <w:p w14:paraId="46AB5C71" w14:textId="77777777" w:rsidR="00BD4D02" w:rsidRPr="00BD4D02" w:rsidRDefault="00BD4D02" w:rsidP="00BD4D02">
            <w:pPr>
              <w:rPr>
                <w:sz w:val="20"/>
                <w:szCs w:val="20"/>
              </w:rPr>
            </w:pPr>
          </w:p>
        </w:tc>
        <w:tc>
          <w:tcPr>
            <w:tcW w:w="663" w:type="dxa"/>
            <w:shd w:val="clear" w:color="auto" w:fill="auto"/>
            <w:noWrap/>
            <w:vAlign w:val="bottom"/>
            <w:hideMark/>
          </w:tcPr>
          <w:p w14:paraId="37063604" w14:textId="77777777" w:rsidR="00BD4D02" w:rsidRPr="00BD4D02" w:rsidRDefault="00BD4D02" w:rsidP="00BD4D02">
            <w:pPr>
              <w:rPr>
                <w:sz w:val="20"/>
                <w:szCs w:val="20"/>
              </w:rPr>
            </w:pPr>
          </w:p>
        </w:tc>
        <w:tc>
          <w:tcPr>
            <w:tcW w:w="663" w:type="dxa"/>
            <w:shd w:val="clear" w:color="auto" w:fill="auto"/>
            <w:noWrap/>
            <w:vAlign w:val="bottom"/>
            <w:hideMark/>
          </w:tcPr>
          <w:p w14:paraId="0452FE90" w14:textId="77777777" w:rsidR="00BD4D02" w:rsidRPr="00BD4D02" w:rsidRDefault="00BD4D02" w:rsidP="00BD4D02">
            <w:pPr>
              <w:rPr>
                <w:sz w:val="20"/>
                <w:szCs w:val="20"/>
              </w:rPr>
            </w:pPr>
          </w:p>
        </w:tc>
        <w:tc>
          <w:tcPr>
            <w:tcW w:w="663" w:type="dxa"/>
            <w:shd w:val="clear" w:color="auto" w:fill="auto"/>
            <w:noWrap/>
            <w:vAlign w:val="bottom"/>
            <w:hideMark/>
          </w:tcPr>
          <w:p w14:paraId="7EFC9C3F" w14:textId="77777777" w:rsidR="00BD4D02" w:rsidRPr="00BD4D02" w:rsidRDefault="00BD4D02" w:rsidP="00BD4D02">
            <w:pPr>
              <w:rPr>
                <w:sz w:val="20"/>
                <w:szCs w:val="20"/>
              </w:rPr>
            </w:pPr>
          </w:p>
        </w:tc>
        <w:tc>
          <w:tcPr>
            <w:tcW w:w="663" w:type="dxa"/>
            <w:shd w:val="clear" w:color="auto" w:fill="auto"/>
            <w:noWrap/>
            <w:vAlign w:val="bottom"/>
            <w:hideMark/>
          </w:tcPr>
          <w:p w14:paraId="3C031718" w14:textId="77777777" w:rsidR="00BD4D02" w:rsidRPr="00BD4D02" w:rsidRDefault="00BD4D02" w:rsidP="00BD4D02">
            <w:pPr>
              <w:rPr>
                <w:sz w:val="20"/>
                <w:szCs w:val="20"/>
              </w:rPr>
            </w:pPr>
          </w:p>
        </w:tc>
        <w:tc>
          <w:tcPr>
            <w:tcW w:w="1180" w:type="dxa"/>
            <w:shd w:val="clear" w:color="auto" w:fill="auto"/>
            <w:noWrap/>
            <w:vAlign w:val="bottom"/>
            <w:hideMark/>
          </w:tcPr>
          <w:p w14:paraId="5D99D772"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4D25D2BD" w14:textId="77777777" w:rsidTr="00050580">
        <w:trPr>
          <w:trHeight w:val="144"/>
        </w:trPr>
        <w:tc>
          <w:tcPr>
            <w:tcW w:w="4500" w:type="dxa"/>
            <w:shd w:val="clear" w:color="auto" w:fill="auto"/>
            <w:noWrap/>
            <w:vAlign w:val="bottom"/>
            <w:hideMark/>
          </w:tcPr>
          <w:p w14:paraId="65591EB7"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Technologies - video</w:t>
            </w:r>
          </w:p>
        </w:tc>
        <w:tc>
          <w:tcPr>
            <w:tcW w:w="770" w:type="dxa"/>
            <w:shd w:val="clear" w:color="auto" w:fill="auto"/>
            <w:noWrap/>
            <w:vAlign w:val="bottom"/>
            <w:hideMark/>
          </w:tcPr>
          <w:p w14:paraId="26FC523C"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38EB9606"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40E72FEF"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0026AFCE"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67332C5A"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31397395"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0413D8CD"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0870D065"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6AF774B3"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3244F834"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1AF2C26D"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6E1999C6" w14:textId="77777777" w:rsidR="00BD4D02" w:rsidRPr="00BD4D02" w:rsidRDefault="00BD4D02" w:rsidP="00BD4D02">
            <w:pPr>
              <w:rPr>
                <w:sz w:val="20"/>
                <w:szCs w:val="20"/>
              </w:rPr>
            </w:pPr>
          </w:p>
        </w:tc>
        <w:tc>
          <w:tcPr>
            <w:tcW w:w="1180" w:type="dxa"/>
            <w:shd w:val="clear" w:color="auto" w:fill="auto"/>
            <w:noWrap/>
            <w:vAlign w:val="bottom"/>
            <w:hideMark/>
          </w:tcPr>
          <w:p w14:paraId="672D3A63"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14</w:t>
            </w:r>
          </w:p>
        </w:tc>
      </w:tr>
      <w:tr w:rsidR="00BD4D02" w:rsidRPr="00BD4D02" w14:paraId="65ABC8C3" w14:textId="77777777" w:rsidTr="00050580">
        <w:trPr>
          <w:trHeight w:val="144"/>
        </w:trPr>
        <w:tc>
          <w:tcPr>
            <w:tcW w:w="4500" w:type="dxa"/>
            <w:shd w:val="clear" w:color="auto" w:fill="auto"/>
            <w:noWrap/>
            <w:vAlign w:val="bottom"/>
            <w:hideMark/>
          </w:tcPr>
          <w:p w14:paraId="3F127048"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Technology - media</w:t>
            </w:r>
          </w:p>
        </w:tc>
        <w:tc>
          <w:tcPr>
            <w:tcW w:w="770" w:type="dxa"/>
            <w:shd w:val="clear" w:color="auto" w:fill="auto"/>
            <w:noWrap/>
            <w:vAlign w:val="bottom"/>
            <w:hideMark/>
          </w:tcPr>
          <w:p w14:paraId="416A48E8"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257BC273" w14:textId="77777777" w:rsidR="00BD4D02" w:rsidRPr="00BD4D02" w:rsidRDefault="00BD4D02" w:rsidP="00BD4D02">
            <w:pPr>
              <w:rPr>
                <w:sz w:val="20"/>
                <w:szCs w:val="20"/>
              </w:rPr>
            </w:pPr>
          </w:p>
        </w:tc>
        <w:tc>
          <w:tcPr>
            <w:tcW w:w="663" w:type="dxa"/>
            <w:shd w:val="clear" w:color="auto" w:fill="auto"/>
            <w:noWrap/>
            <w:vAlign w:val="bottom"/>
            <w:hideMark/>
          </w:tcPr>
          <w:p w14:paraId="17DF8B46" w14:textId="77777777" w:rsidR="00BD4D02" w:rsidRPr="00BD4D02" w:rsidRDefault="00BD4D02" w:rsidP="00BD4D02">
            <w:pPr>
              <w:rPr>
                <w:sz w:val="20"/>
                <w:szCs w:val="20"/>
              </w:rPr>
            </w:pPr>
          </w:p>
        </w:tc>
        <w:tc>
          <w:tcPr>
            <w:tcW w:w="663" w:type="dxa"/>
            <w:shd w:val="clear" w:color="auto" w:fill="auto"/>
            <w:noWrap/>
            <w:vAlign w:val="bottom"/>
            <w:hideMark/>
          </w:tcPr>
          <w:p w14:paraId="75EEB991" w14:textId="77777777" w:rsidR="00BD4D02" w:rsidRPr="00BD4D02" w:rsidRDefault="00BD4D02" w:rsidP="00BD4D02">
            <w:pPr>
              <w:rPr>
                <w:sz w:val="20"/>
                <w:szCs w:val="20"/>
              </w:rPr>
            </w:pPr>
          </w:p>
        </w:tc>
        <w:tc>
          <w:tcPr>
            <w:tcW w:w="663" w:type="dxa"/>
            <w:shd w:val="clear" w:color="auto" w:fill="auto"/>
            <w:noWrap/>
            <w:vAlign w:val="bottom"/>
            <w:hideMark/>
          </w:tcPr>
          <w:p w14:paraId="6251F845"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7DAE4DFF"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22F33529" w14:textId="77777777" w:rsidR="00BD4D02" w:rsidRPr="00BD4D02" w:rsidRDefault="00BD4D02" w:rsidP="00BD4D02">
            <w:pPr>
              <w:rPr>
                <w:sz w:val="20"/>
                <w:szCs w:val="20"/>
              </w:rPr>
            </w:pPr>
          </w:p>
        </w:tc>
        <w:tc>
          <w:tcPr>
            <w:tcW w:w="663" w:type="dxa"/>
            <w:shd w:val="clear" w:color="auto" w:fill="auto"/>
            <w:noWrap/>
            <w:vAlign w:val="bottom"/>
            <w:hideMark/>
          </w:tcPr>
          <w:p w14:paraId="674B33BE" w14:textId="77777777" w:rsidR="00BD4D02" w:rsidRPr="00BD4D02" w:rsidRDefault="00BD4D02" w:rsidP="00BD4D02">
            <w:pPr>
              <w:rPr>
                <w:sz w:val="20"/>
                <w:szCs w:val="20"/>
              </w:rPr>
            </w:pPr>
          </w:p>
        </w:tc>
        <w:tc>
          <w:tcPr>
            <w:tcW w:w="663" w:type="dxa"/>
            <w:shd w:val="clear" w:color="auto" w:fill="auto"/>
            <w:noWrap/>
            <w:vAlign w:val="bottom"/>
            <w:hideMark/>
          </w:tcPr>
          <w:p w14:paraId="4B0CF5A9" w14:textId="77777777" w:rsidR="00BD4D02" w:rsidRPr="00BD4D02" w:rsidRDefault="00BD4D02" w:rsidP="00BD4D02">
            <w:pPr>
              <w:rPr>
                <w:sz w:val="20"/>
                <w:szCs w:val="20"/>
              </w:rPr>
            </w:pPr>
          </w:p>
        </w:tc>
        <w:tc>
          <w:tcPr>
            <w:tcW w:w="663" w:type="dxa"/>
            <w:shd w:val="clear" w:color="auto" w:fill="auto"/>
            <w:noWrap/>
            <w:vAlign w:val="bottom"/>
            <w:hideMark/>
          </w:tcPr>
          <w:p w14:paraId="4B3934FA" w14:textId="77777777" w:rsidR="00BD4D02" w:rsidRPr="00BD4D02" w:rsidRDefault="00BD4D02" w:rsidP="00BD4D02">
            <w:pPr>
              <w:rPr>
                <w:sz w:val="20"/>
                <w:szCs w:val="20"/>
              </w:rPr>
            </w:pPr>
          </w:p>
        </w:tc>
        <w:tc>
          <w:tcPr>
            <w:tcW w:w="663" w:type="dxa"/>
            <w:shd w:val="clear" w:color="auto" w:fill="auto"/>
            <w:noWrap/>
            <w:vAlign w:val="bottom"/>
            <w:hideMark/>
          </w:tcPr>
          <w:p w14:paraId="6CB239D4" w14:textId="77777777" w:rsidR="00BD4D02" w:rsidRPr="00BD4D02" w:rsidRDefault="00BD4D02" w:rsidP="00BD4D02">
            <w:pPr>
              <w:rPr>
                <w:sz w:val="20"/>
                <w:szCs w:val="20"/>
              </w:rPr>
            </w:pPr>
          </w:p>
        </w:tc>
        <w:tc>
          <w:tcPr>
            <w:tcW w:w="663" w:type="dxa"/>
            <w:shd w:val="clear" w:color="auto" w:fill="auto"/>
            <w:noWrap/>
            <w:vAlign w:val="bottom"/>
            <w:hideMark/>
          </w:tcPr>
          <w:p w14:paraId="0C616025" w14:textId="77777777" w:rsidR="00BD4D02" w:rsidRPr="00BD4D02" w:rsidRDefault="00BD4D02" w:rsidP="00BD4D02">
            <w:pPr>
              <w:rPr>
                <w:sz w:val="20"/>
                <w:szCs w:val="20"/>
              </w:rPr>
            </w:pPr>
          </w:p>
        </w:tc>
        <w:tc>
          <w:tcPr>
            <w:tcW w:w="1180" w:type="dxa"/>
            <w:shd w:val="clear" w:color="auto" w:fill="auto"/>
            <w:noWrap/>
            <w:vAlign w:val="bottom"/>
            <w:hideMark/>
          </w:tcPr>
          <w:p w14:paraId="0EB23519"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5F852217" w14:textId="77777777" w:rsidTr="00050580">
        <w:trPr>
          <w:trHeight w:val="144"/>
        </w:trPr>
        <w:tc>
          <w:tcPr>
            <w:tcW w:w="4500" w:type="dxa"/>
            <w:shd w:val="clear" w:color="auto" w:fill="auto"/>
            <w:noWrap/>
            <w:vAlign w:val="bottom"/>
            <w:hideMark/>
          </w:tcPr>
          <w:p w14:paraId="0A41C207"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Television - digital</w:t>
            </w:r>
          </w:p>
        </w:tc>
        <w:tc>
          <w:tcPr>
            <w:tcW w:w="770" w:type="dxa"/>
            <w:shd w:val="clear" w:color="auto" w:fill="auto"/>
            <w:noWrap/>
            <w:vAlign w:val="bottom"/>
            <w:hideMark/>
          </w:tcPr>
          <w:p w14:paraId="17BD2A36"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4F091EC7"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2BEE84DF"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786C2AE9"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68B72CEB"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56433260"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6AF06224" w14:textId="77777777" w:rsidR="00BD4D02" w:rsidRPr="00BD4D02" w:rsidRDefault="00BD4D02" w:rsidP="00BD4D02">
            <w:pPr>
              <w:rPr>
                <w:sz w:val="20"/>
                <w:szCs w:val="20"/>
              </w:rPr>
            </w:pPr>
          </w:p>
        </w:tc>
        <w:tc>
          <w:tcPr>
            <w:tcW w:w="663" w:type="dxa"/>
            <w:shd w:val="clear" w:color="auto" w:fill="auto"/>
            <w:noWrap/>
            <w:vAlign w:val="bottom"/>
            <w:hideMark/>
          </w:tcPr>
          <w:p w14:paraId="22F1F40B" w14:textId="77777777" w:rsidR="00BD4D02" w:rsidRPr="00BD4D02" w:rsidRDefault="00BD4D02" w:rsidP="00BD4D02">
            <w:pPr>
              <w:rPr>
                <w:sz w:val="20"/>
                <w:szCs w:val="20"/>
              </w:rPr>
            </w:pPr>
          </w:p>
        </w:tc>
        <w:tc>
          <w:tcPr>
            <w:tcW w:w="663" w:type="dxa"/>
            <w:shd w:val="clear" w:color="auto" w:fill="auto"/>
            <w:noWrap/>
            <w:vAlign w:val="bottom"/>
            <w:hideMark/>
          </w:tcPr>
          <w:p w14:paraId="372C124E" w14:textId="77777777" w:rsidR="00BD4D02" w:rsidRPr="00BD4D02" w:rsidRDefault="00BD4D02" w:rsidP="00BD4D02">
            <w:pPr>
              <w:rPr>
                <w:sz w:val="20"/>
                <w:szCs w:val="20"/>
              </w:rPr>
            </w:pPr>
          </w:p>
        </w:tc>
        <w:tc>
          <w:tcPr>
            <w:tcW w:w="663" w:type="dxa"/>
            <w:shd w:val="clear" w:color="auto" w:fill="auto"/>
            <w:noWrap/>
            <w:vAlign w:val="bottom"/>
            <w:hideMark/>
          </w:tcPr>
          <w:p w14:paraId="30C6F8AD" w14:textId="77777777" w:rsidR="00BD4D02" w:rsidRPr="00BD4D02" w:rsidRDefault="00BD4D02" w:rsidP="00BD4D02">
            <w:pPr>
              <w:rPr>
                <w:sz w:val="20"/>
                <w:szCs w:val="20"/>
              </w:rPr>
            </w:pPr>
          </w:p>
        </w:tc>
        <w:tc>
          <w:tcPr>
            <w:tcW w:w="663" w:type="dxa"/>
            <w:shd w:val="clear" w:color="auto" w:fill="auto"/>
            <w:noWrap/>
            <w:vAlign w:val="bottom"/>
            <w:hideMark/>
          </w:tcPr>
          <w:p w14:paraId="5C3EE37B" w14:textId="77777777" w:rsidR="00BD4D02" w:rsidRPr="00BD4D02" w:rsidRDefault="00BD4D02" w:rsidP="00BD4D02">
            <w:pPr>
              <w:rPr>
                <w:sz w:val="20"/>
                <w:szCs w:val="20"/>
              </w:rPr>
            </w:pPr>
          </w:p>
        </w:tc>
        <w:tc>
          <w:tcPr>
            <w:tcW w:w="663" w:type="dxa"/>
            <w:shd w:val="clear" w:color="auto" w:fill="auto"/>
            <w:noWrap/>
            <w:vAlign w:val="bottom"/>
            <w:hideMark/>
          </w:tcPr>
          <w:p w14:paraId="73A9CF54" w14:textId="77777777" w:rsidR="00BD4D02" w:rsidRPr="00BD4D02" w:rsidRDefault="00BD4D02" w:rsidP="00BD4D02">
            <w:pPr>
              <w:rPr>
                <w:sz w:val="20"/>
                <w:szCs w:val="20"/>
              </w:rPr>
            </w:pPr>
          </w:p>
        </w:tc>
        <w:tc>
          <w:tcPr>
            <w:tcW w:w="1180" w:type="dxa"/>
            <w:shd w:val="clear" w:color="auto" w:fill="auto"/>
            <w:noWrap/>
            <w:vAlign w:val="bottom"/>
            <w:hideMark/>
          </w:tcPr>
          <w:p w14:paraId="5483CE10"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4</w:t>
            </w:r>
          </w:p>
        </w:tc>
      </w:tr>
      <w:tr w:rsidR="00BD4D02" w:rsidRPr="00BD4D02" w14:paraId="266B311C" w14:textId="77777777" w:rsidTr="00050580">
        <w:trPr>
          <w:trHeight w:val="144"/>
        </w:trPr>
        <w:tc>
          <w:tcPr>
            <w:tcW w:w="4500" w:type="dxa"/>
            <w:shd w:val="clear" w:color="auto" w:fill="auto"/>
            <w:noWrap/>
            <w:vAlign w:val="bottom"/>
            <w:hideMark/>
          </w:tcPr>
          <w:p w14:paraId="1179A3E0"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Television - households</w:t>
            </w:r>
          </w:p>
        </w:tc>
        <w:tc>
          <w:tcPr>
            <w:tcW w:w="770" w:type="dxa"/>
            <w:shd w:val="clear" w:color="auto" w:fill="auto"/>
            <w:noWrap/>
            <w:vAlign w:val="bottom"/>
            <w:hideMark/>
          </w:tcPr>
          <w:p w14:paraId="029081D9"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7CD22185" w14:textId="77777777" w:rsidR="00BD4D02" w:rsidRPr="00BD4D02" w:rsidRDefault="00BD4D02" w:rsidP="00BD4D02">
            <w:pPr>
              <w:rPr>
                <w:sz w:val="20"/>
                <w:szCs w:val="20"/>
              </w:rPr>
            </w:pPr>
          </w:p>
        </w:tc>
        <w:tc>
          <w:tcPr>
            <w:tcW w:w="663" w:type="dxa"/>
            <w:shd w:val="clear" w:color="auto" w:fill="auto"/>
            <w:noWrap/>
            <w:vAlign w:val="bottom"/>
            <w:hideMark/>
          </w:tcPr>
          <w:p w14:paraId="245CD44C" w14:textId="77777777" w:rsidR="00BD4D02" w:rsidRPr="00BD4D02" w:rsidRDefault="00BD4D02" w:rsidP="00BD4D02">
            <w:pPr>
              <w:rPr>
                <w:sz w:val="20"/>
                <w:szCs w:val="20"/>
              </w:rPr>
            </w:pPr>
          </w:p>
        </w:tc>
        <w:tc>
          <w:tcPr>
            <w:tcW w:w="663" w:type="dxa"/>
            <w:shd w:val="clear" w:color="auto" w:fill="auto"/>
            <w:noWrap/>
            <w:vAlign w:val="bottom"/>
            <w:hideMark/>
          </w:tcPr>
          <w:p w14:paraId="18491E16" w14:textId="77777777" w:rsidR="00BD4D02" w:rsidRPr="00BD4D02" w:rsidRDefault="00BD4D02" w:rsidP="00BD4D02">
            <w:pPr>
              <w:rPr>
                <w:sz w:val="20"/>
                <w:szCs w:val="20"/>
              </w:rPr>
            </w:pPr>
          </w:p>
        </w:tc>
        <w:tc>
          <w:tcPr>
            <w:tcW w:w="663" w:type="dxa"/>
            <w:shd w:val="clear" w:color="auto" w:fill="auto"/>
            <w:noWrap/>
            <w:vAlign w:val="bottom"/>
            <w:hideMark/>
          </w:tcPr>
          <w:p w14:paraId="4813E77E"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3EA49AC6"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4BD27B24" w14:textId="77777777" w:rsidR="00BD4D02" w:rsidRPr="00BD4D02" w:rsidRDefault="00BD4D02" w:rsidP="00BD4D02">
            <w:pPr>
              <w:rPr>
                <w:sz w:val="20"/>
                <w:szCs w:val="20"/>
              </w:rPr>
            </w:pPr>
          </w:p>
        </w:tc>
        <w:tc>
          <w:tcPr>
            <w:tcW w:w="663" w:type="dxa"/>
            <w:shd w:val="clear" w:color="auto" w:fill="auto"/>
            <w:noWrap/>
            <w:vAlign w:val="bottom"/>
            <w:hideMark/>
          </w:tcPr>
          <w:p w14:paraId="64CAEC6B" w14:textId="77777777" w:rsidR="00BD4D02" w:rsidRPr="00BD4D02" w:rsidRDefault="00BD4D02" w:rsidP="00BD4D02">
            <w:pPr>
              <w:rPr>
                <w:sz w:val="20"/>
                <w:szCs w:val="20"/>
              </w:rPr>
            </w:pPr>
          </w:p>
        </w:tc>
        <w:tc>
          <w:tcPr>
            <w:tcW w:w="663" w:type="dxa"/>
            <w:shd w:val="clear" w:color="auto" w:fill="auto"/>
            <w:noWrap/>
            <w:vAlign w:val="bottom"/>
            <w:hideMark/>
          </w:tcPr>
          <w:p w14:paraId="57DCA4A1" w14:textId="77777777" w:rsidR="00BD4D02" w:rsidRPr="00BD4D02" w:rsidRDefault="00BD4D02" w:rsidP="00BD4D02">
            <w:pPr>
              <w:rPr>
                <w:sz w:val="20"/>
                <w:szCs w:val="20"/>
              </w:rPr>
            </w:pPr>
          </w:p>
        </w:tc>
        <w:tc>
          <w:tcPr>
            <w:tcW w:w="663" w:type="dxa"/>
            <w:shd w:val="clear" w:color="auto" w:fill="auto"/>
            <w:noWrap/>
            <w:vAlign w:val="bottom"/>
            <w:hideMark/>
          </w:tcPr>
          <w:p w14:paraId="46A49392" w14:textId="77777777" w:rsidR="00BD4D02" w:rsidRPr="00BD4D02" w:rsidRDefault="00BD4D02" w:rsidP="00BD4D02">
            <w:pPr>
              <w:rPr>
                <w:sz w:val="20"/>
                <w:szCs w:val="20"/>
              </w:rPr>
            </w:pPr>
          </w:p>
        </w:tc>
        <w:tc>
          <w:tcPr>
            <w:tcW w:w="663" w:type="dxa"/>
            <w:shd w:val="clear" w:color="auto" w:fill="auto"/>
            <w:noWrap/>
            <w:vAlign w:val="bottom"/>
            <w:hideMark/>
          </w:tcPr>
          <w:p w14:paraId="32BE3523" w14:textId="77777777" w:rsidR="00BD4D02" w:rsidRPr="00BD4D02" w:rsidRDefault="00BD4D02" w:rsidP="00BD4D02">
            <w:pPr>
              <w:rPr>
                <w:sz w:val="20"/>
                <w:szCs w:val="20"/>
              </w:rPr>
            </w:pPr>
          </w:p>
        </w:tc>
        <w:tc>
          <w:tcPr>
            <w:tcW w:w="663" w:type="dxa"/>
            <w:shd w:val="clear" w:color="auto" w:fill="auto"/>
            <w:noWrap/>
            <w:vAlign w:val="bottom"/>
            <w:hideMark/>
          </w:tcPr>
          <w:p w14:paraId="4609452C" w14:textId="77777777" w:rsidR="00BD4D02" w:rsidRPr="00BD4D02" w:rsidRDefault="00BD4D02" w:rsidP="00BD4D02">
            <w:pPr>
              <w:rPr>
                <w:sz w:val="20"/>
                <w:szCs w:val="20"/>
              </w:rPr>
            </w:pPr>
          </w:p>
        </w:tc>
        <w:tc>
          <w:tcPr>
            <w:tcW w:w="1180" w:type="dxa"/>
            <w:shd w:val="clear" w:color="auto" w:fill="auto"/>
            <w:noWrap/>
            <w:vAlign w:val="bottom"/>
            <w:hideMark/>
          </w:tcPr>
          <w:p w14:paraId="6CAF916F"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2A94AA3E" w14:textId="77777777" w:rsidTr="00050580">
        <w:trPr>
          <w:trHeight w:val="144"/>
        </w:trPr>
        <w:tc>
          <w:tcPr>
            <w:tcW w:w="4500" w:type="dxa"/>
            <w:shd w:val="clear" w:color="auto" w:fill="auto"/>
            <w:noWrap/>
            <w:vAlign w:val="bottom"/>
            <w:hideMark/>
          </w:tcPr>
          <w:p w14:paraId="7947B44B"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TV households</w:t>
            </w:r>
          </w:p>
        </w:tc>
        <w:tc>
          <w:tcPr>
            <w:tcW w:w="770" w:type="dxa"/>
            <w:shd w:val="clear" w:color="auto" w:fill="auto"/>
            <w:noWrap/>
            <w:vAlign w:val="bottom"/>
            <w:hideMark/>
          </w:tcPr>
          <w:p w14:paraId="4EDC9921"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7FEB78CD" w14:textId="77777777" w:rsidR="00BD4D02" w:rsidRPr="00BD4D02" w:rsidRDefault="00BD4D02" w:rsidP="00BD4D02">
            <w:pPr>
              <w:rPr>
                <w:sz w:val="20"/>
                <w:szCs w:val="20"/>
              </w:rPr>
            </w:pPr>
          </w:p>
        </w:tc>
        <w:tc>
          <w:tcPr>
            <w:tcW w:w="663" w:type="dxa"/>
            <w:shd w:val="clear" w:color="auto" w:fill="auto"/>
            <w:noWrap/>
            <w:vAlign w:val="bottom"/>
            <w:hideMark/>
          </w:tcPr>
          <w:p w14:paraId="07864D4F" w14:textId="77777777" w:rsidR="00BD4D02" w:rsidRPr="00BD4D02" w:rsidRDefault="00BD4D02" w:rsidP="00BD4D02">
            <w:pPr>
              <w:rPr>
                <w:sz w:val="20"/>
                <w:szCs w:val="20"/>
              </w:rPr>
            </w:pPr>
          </w:p>
        </w:tc>
        <w:tc>
          <w:tcPr>
            <w:tcW w:w="663" w:type="dxa"/>
            <w:shd w:val="clear" w:color="auto" w:fill="auto"/>
            <w:noWrap/>
            <w:vAlign w:val="bottom"/>
            <w:hideMark/>
          </w:tcPr>
          <w:p w14:paraId="4650747D"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1791C05F"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4D8DB1A3" w14:textId="77777777" w:rsidR="00BD4D02" w:rsidRPr="00BD4D02" w:rsidRDefault="00BD4D02" w:rsidP="00BD4D02">
            <w:pPr>
              <w:rPr>
                <w:sz w:val="20"/>
                <w:szCs w:val="20"/>
              </w:rPr>
            </w:pPr>
          </w:p>
        </w:tc>
        <w:tc>
          <w:tcPr>
            <w:tcW w:w="663" w:type="dxa"/>
            <w:shd w:val="clear" w:color="auto" w:fill="auto"/>
            <w:noWrap/>
            <w:vAlign w:val="bottom"/>
            <w:hideMark/>
          </w:tcPr>
          <w:p w14:paraId="4FE48BBC" w14:textId="77777777" w:rsidR="00BD4D02" w:rsidRPr="00BD4D02" w:rsidRDefault="00BD4D02" w:rsidP="00BD4D02">
            <w:pPr>
              <w:rPr>
                <w:sz w:val="20"/>
                <w:szCs w:val="20"/>
              </w:rPr>
            </w:pPr>
          </w:p>
        </w:tc>
        <w:tc>
          <w:tcPr>
            <w:tcW w:w="663" w:type="dxa"/>
            <w:shd w:val="clear" w:color="auto" w:fill="auto"/>
            <w:noWrap/>
            <w:vAlign w:val="bottom"/>
            <w:hideMark/>
          </w:tcPr>
          <w:p w14:paraId="0DD19D1E" w14:textId="77777777" w:rsidR="00BD4D02" w:rsidRPr="00BD4D02" w:rsidRDefault="00BD4D02" w:rsidP="00BD4D02">
            <w:pPr>
              <w:rPr>
                <w:sz w:val="20"/>
                <w:szCs w:val="20"/>
              </w:rPr>
            </w:pPr>
          </w:p>
        </w:tc>
        <w:tc>
          <w:tcPr>
            <w:tcW w:w="663" w:type="dxa"/>
            <w:shd w:val="clear" w:color="auto" w:fill="auto"/>
            <w:noWrap/>
            <w:vAlign w:val="bottom"/>
            <w:hideMark/>
          </w:tcPr>
          <w:p w14:paraId="3D853801" w14:textId="77777777" w:rsidR="00BD4D02" w:rsidRPr="00BD4D02" w:rsidRDefault="00BD4D02" w:rsidP="00BD4D02">
            <w:pPr>
              <w:rPr>
                <w:sz w:val="20"/>
                <w:szCs w:val="20"/>
              </w:rPr>
            </w:pPr>
          </w:p>
        </w:tc>
        <w:tc>
          <w:tcPr>
            <w:tcW w:w="663" w:type="dxa"/>
            <w:shd w:val="clear" w:color="auto" w:fill="auto"/>
            <w:noWrap/>
            <w:vAlign w:val="bottom"/>
            <w:hideMark/>
          </w:tcPr>
          <w:p w14:paraId="3AC2495E" w14:textId="77777777" w:rsidR="00BD4D02" w:rsidRPr="00BD4D02" w:rsidRDefault="00BD4D02" w:rsidP="00BD4D02">
            <w:pPr>
              <w:rPr>
                <w:sz w:val="20"/>
                <w:szCs w:val="20"/>
              </w:rPr>
            </w:pPr>
          </w:p>
        </w:tc>
        <w:tc>
          <w:tcPr>
            <w:tcW w:w="663" w:type="dxa"/>
            <w:shd w:val="clear" w:color="auto" w:fill="auto"/>
            <w:noWrap/>
            <w:vAlign w:val="bottom"/>
            <w:hideMark/>
          </w:tcPr>
          <w:p w14:paraId="4A856E2B" w14:textId="77777777" w:rsidR="00BD4D02" w:rsidRPr="00BD4D02" w:rsidRDefault="00BD4D02" w:rsidP="00BD4D02">
            <w:pPr>
              <w:rPr>
                <w:sz w:val="20"/>
                <w:szCs w:val="20"/>
              </w:rPr>
            </w:pPr>
          </w:p>
        </w:tc>
        <w:tc>
          <w:tcPr>
            <w:tcW w:w="663" w:type="dxa"/>
            <w:shd w:val="clear" w:color="auto" w:fill="auto"/>
            <w:noWrap/>
            <w:vAlign w:val="bottom"/>
            <w:hideMark/>
          </w:tcPr>
          <w:p w14:paraId="7BE04B59" w14:textId="77777777" w:rsidR="00BD4D02" w:rsidRPr="00BD4D02" w:rsidRDefault="00BD4D02" w:rsidP="00BD4D02">
            <w:pPr>
              <w:rPr>
                <w:sz w:val="20"/>
                <w:szCs w:val="20"/>
              </w:rPr>
            </w:pPr>
          </w:p>
        </w:tc>
        <w:tc>
          <w:tcPr>
            <w:tcW w:w="1180" w:type="dxa"/>
            <w:shd w:val="clear" w:color="auto" w:fill="auto"/>
            <w:noWrap/>
            <w:vAlign w:val="bottom"/>
            <w:hideMark/>
          </w:tcPr>
          <w:p w14:paraId="66B78C77"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73C883BF" w14:textId="77777777" w:rsidTr="00050580">
        <w:trPr>
          <w:trHeight w:val="144"/>
        </w:trPr>
        <w:tc>
          <w:tcPr>
            <w:tcW w:w="4500" w:type="dxa"/>
            <w:shd w:val="clear" w:color="auto" w:fill="auto"/>
            <w:noWrap/>
            <w:vAlign w:val="bottom"/>
            <w:hideMark/>
          </w:tcPr>
          <w:p w14:paraId="2453CD6A"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Usage - Internet</w:t>
            </w:r>
          </w:p>
        </w:tc>
        <w:tc>
          <w:tcPr>
            <w:tcW w:w="770" w:type="dxa"/>
            <w:shd w:val="clear" w:color="auto" w:fill="auto"/>
            <w:noWrap/>
            <w:vAlign w:val="bottom"/>
            <w:hideMark/>
          </w:tcPr>
          <w:p w14:paraId="3DFC1A86"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0B92574E"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082C0FE6"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1D6AA5C0"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1F657D43"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138323E5" w14:textId="77777777" w:rsidR="00BD4D02" w:rsidRPr="00BD4D02" w:rsidRDefault="00BD4D02" w:rsidP="00BD4D02">
            <w:pPr>
              <w:rPr>
                <w:sz w:val="20"/>
                <w:szCs w:val="20"/>
              </w:rPr>
            </w:pPr>
          </w:p>
        </w:tc>
        <w:tc>
          <w:tcPr>
            <w:tcW w:w="663" w:type="dxa"/>
            <w:shd w:val="clear" w:color="auto" w:fill="auto"/>
            <w:noWrap/>
            <w:vAlign w:val="bottom"/>
            <w:hideMark/>
          </w:tcPr>
          <w:p w14:paraId="2904D6A5" w14:textId="77777777" w:rsidR="00BD4D02" w:rsidRPr="00BD4D02" w:rsidRDefault="00BD4D02" w:rsidP="00BD4D02">
            <w:pPr>
              <w:rPr>
                <w:sz w:val="20"/>
                <w:szCs w:val="20"/>
              </w:rPr>
            </w:pPr>
          </w:p>
        </w:tc>
        <w:tc>
          <w:tcPr>
            <w:tcW w:w="663" w:type="dxa"/>
            <w:shd w:val="clear" w:color="auto" w:fill="auto"/>
            <w:noWrap/>
            <w:vAlign w:val="bottom"/>
            <w:hideMark/>
          </w:tcPr>
          <w:p w14:paraId="39AB323D" w14:textId="77777777" w:rsidR="00BD4D02" w:rsidRPr="00BD4D02" w:rsidRDefault="00BD4D02" w:rsidP="00BD4D02">
            <w:pPr>
              <w:rPr>
                <w:sz w:val="20"/>
                <w:szCs w:val="20"/>
              </w:rPr>
            </w:pPr>
          </w:p>
        </w:tc>
        <w:tc>
          <w:tcPr>
            <w:tcW w:w="663" w:type="dxa"/>
            <w:shd w:val="clear" w:color="auto" w:fill="auto"/>
            <w:noWrap/>
            <w:vAlign w:val="bottom"/>
            <w:hideMark/>
          </w:tcPr>
          <w:p w14:paraId="77B30DC5" w14:textId="77777777" w:rsidR="00BD4D02" w:rsidRPr="00BD4D02" w:rsidRDefault="00BD4D02" w:rsidP="00BD4D02">
            <w:pPr>
              <w:rPr>
                <w:sz w:val="20"/>
                <w:szCs w:val="20"/>
              </w:rPr>
            </w:pPr>
          </w:p>
        </w:tc>
        <w:tc>
          <w:tcPr>
            <w:tcW w:w="663" w:type="dxa"/>
            <w:shd w:val="clear" w:color="auto" w:fill="auto"/>
            <w:noWrap/>
            <w:vAlign w:val="bottom"/>
            <w:hideMark/>
          </w:tcPr>
          <w:p w14:paraId="2B2446F0" w14:textId="77777777" w:rsidR="00BD4D02" w:rsidRPr="00BD4D02" w:rsidRDefault="00BD4D02" w:rsidP="00BD4D02">
            <w:pPr>
              <w:rPr>
                <w:sz w:val="20"/>
                <w:szCs w:val="20"/>
              </w:rPr>
            </w:pPr>
          </w:p>
        </w:tc>
        <w:tc>
          <w:tcPr>
            <w:tcW w:w="663" w:type="dxa"/>
            <w:shd w:val="clear" w:color="auto" w:fill="auto"/>
            <w:noWrap/>
            <w:vAlign w:val="bottom"/>
            <w:hideMark/>
          </w:tcPr>
          <w:p w14:paraId="29C22F25" w14:textId="77777777" w:rsidR="00BD4D02" w:rsidRPr="00BD4D02" w:rsidRDefault="00BD4D02" w:rsidP="00BD4D02">
            <w:pPr>
              <w:rPr>
                <w:sz w:val="20"/>
                <w:szCs w:val="20"/>
              </w:rPr>
            </w:pPr>
          </w:p>
        </w:tc>
        <w:tc>
          <w:tcPr>
            <w:tcW w:w="663" w:type="dxa"/>
            <w:shd w:val="clear" w:color="auto" w:fill="auto"/>
            <w:noWrap/>
            <w:vAlign w:val="bottom"/>
            <w:hideMark/>
          </w:tcPr>
          <w:p w14:paraId="19975CA2" w14:textId="77777777" w:rsidR="00BD4D02" w:rsidRPr="00BD4D02" w:rsidRDefault="00BD4D02" w:rsidP="00BD4D02">
            <w:pPr>
              <w:rPr>
                <w:sz w:val="20"/>
                <w:szCs w:val="20"/>
              </w:rPr>
            </w:pPr>
          </w:p>
        </w:tc>
        <w:tc>
          <w:tcPr>
            <w:tcW w:w="1180" w:type="dxa"/>
            <w:shd w:val="clear" w:color="auto" w:fill="auto"/>
            <w:noWrap/>
            <w:vAlign w:val="bottom"/>
            <w:hideMark/>
          </w:tcPr>
          <w:p w14:paraId="5EC9838C"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4</w:t>
            </w:r>
          </w:p>
        </w:tc>
      </w:tr>
      <w:tr w:rsidR="00BD4D02" w:rsidRPr="00BD4D02" w14:paraId="6D83DE9A" w14:textId="77777777" w:rsidTr="00050580">
        <w:trPr>
          <w:trHeight w:val="144"/>
        </w:trPr>
        <w:tc>
          <w:tcPr>
            <w:tcW w:w="4500" w:type="dxa"/>
            <w:shd w:val="clear" w:color="auto" w:fill="auto"/>
            <w:noWrap/>
            <w:vAlign w:val="bottom"/>
            <w:hideMark/>
          </w:tcPr>
          <w:p w14:paraId="6E733A2F"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Video technology</w:t>
            </w:r>
          </w:p>
        </w:tc>
        <w:tc>
          <w:tcPr>
            <w:tcW w:w="770" w:type="dxa"/>
            <w:shd w:val="clear" w:color="auto" w:fill="auto"/>
            <w:noWrap/>
            <w:vAlign w:val="bottom"/>
            <w:hideMark/>
          </w:tcPr>
          <w:p w14:paraId="558C0A65"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78779F20"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2020980C"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1D75BCEF"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48DDD59F"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01590277" w14:textId="77777777" w:rsidR="00BD4D02" w:rsidRPr="00BD4D02" w:rsidRDefault="00BD4D02" w:rsidP="00BD4D02">
            <w:pPr>
              <w:rPr>
                <w:sz w:val="20"/>
                <w:szCs w:val="20"/>
              </w:rPr>
            </w:pPr>
          </w:p>
        </w:tc>
        <w:tc>
          <w:tcPr>
            <w:tcW w:w="663" w:type="dxa"/>
            <w:shd w:val="clear" w:color="auto" w:fill="auto"/>
            <w:noWrap/>
            <w:vAlign w:val="bottom"/>
            <w:hideMark/>
          </w:tcPr>
          <w:p w14:paraId="4EC05091" w14:textId="77777777" w:rsidR="00BD4D02" w:rsidRPr="00BD4D02" w:rsidRDefault="00BD4D02" w:rsidP="00BD4D02">
            <w:pPr>
              <w:rPr>
                <w:sz w:val="20"/>
                <w:szCs w:val="20"/>
              </w:rPr>
            </w:pPr>
          </w:p>
        </w:tc>
        <w:tc>
          <w:tcPr>
            <w:tcW w:w="663" w:type="dxa"/>
            <w:shd w:val="clear" w:color="auto" w:fill="auto"/>
            <w:noWrap/>
            <w:vAlign w:val="bottom"/>
            <w:hideMark/>
          </w:tcPr>
          <w:p w14:paraId="42DFB380" w14:textId="77777777" w:rsidR="00BD4D02" w:rsidRPr="00BD4D02" w:rsidRDefault="00BD4D02" w:rsidP="00BD4D02">
            <w:pPr>
              <w:rPr>
                <w:sz w:val="20"/>
                <w:szCs w:val="20"/>
              </w:rPr>
            </w:pPr>
          </w:p>
        </w:tc>
        <w:tc>
          <w:tcPr>
            <w:tcW w:w="663" w:type="dxa"/>
            <w:shd w:val="clear" w:color="auto" w:fill="auto"/>
            <w:noWrap/>
            <w:vAlign w:val="bottom"/>
            <w:hideMark/>
          </w:tcPr>
          <w:p w14:paraId="1AF61F3A" w14:textId="77777777" w:rsidR="00BD4D02" w:rsidRPr="00BD4D02" w:rsidRDefault="00BD4D02" w:rsidP="00BD4D02">
            <w:pPr>
              <w:rPr>
                <w:sz w:val="20"/>
                <w:szCs w:val="20"/>
              </w:rPr>
            </w:pPr>
          </w:p>
        </w:tc>
        <w:tc>
          <w:tcPr>
            <w:tcW w:w="663" w:type="dxa"/>
            <w:shd w:val="clear" w:color="auto" w:fill="auto"/>
            <w:noWrap/>
            <w:vAlign w:val="bottom"/>
            <w:hideMark/>
          </w:tcPr>
          <w:p w14:paraId="6F18B2DC" w14:textId="77777777" w:rsidR="00BD4D02" w:rsidRPr="00BD4D02" w:rsidRDefault="00BD4D02" w:rsidP="00BD4D02">
            <w:pPr>
              <w:rPr>
                <w:sz w:val="20"/>
                <w:szCs w:val="20"/>
              </w:rPr>
            </w:pPr>
          </w:p>
        </w:tc>
        <w:tc>
          <w:tcPr>
            <w:tcW w:w="663" w:type="dxa"/>
            <w:shd w:val="clear" w:color="auto" w:fill="auto"/>
            <w:noWrap/>
            <w:vAlign w:val="bottom"/>
            <w:hideMark/>
          </w:tcPr>
          <w:p w14:paraId="21928401" w14:textId="77777777" w:rsidR="00BD4D02" w:rsidRPr="00BD4D02" w:rsidRDefault="00BD4D02" w:rsidP="00BD4D02">
            <w:pPr>
              <w:rPr>
                <w:sz w:val="20"/>
                <w:szCs w:val="20"/>
              </w:rPr>
            </w:pPr>
          </w:p>
        </w:tc>
        <w:tc>
          <w:tcPr>
            <w:tcW w:w="663" w:type="dxa"/>
            <w:shd w:val="clear" w:color="auto" w:fill="auto"/>
            <w:noWrap/>
            <w:vAlign w:val="bottom"/>
            <w:hideMark/>
          </w:tcPr>
          <w:p w14:paraId="0CDEEB5D" w14:textId="77777777" w:rsidR="00BD4D02" w:rsidRPr="00BD4D02" w:rsidRDefault="00BD4D02" w:rsidP="00BD4D02">
            <w:pPr>
              <w:rPr>
                <w:sz w:val="20"/>
                <w:szCs w:val="20"/>
              </w:rPr>
            </w:pPr>
          </w:p>
        </w:tc>
        <w:tc>
          <w:tcPr>
            <w:tcW w:w="1180" w:type="dxa"/>
            <w:shd w:val="clear" w:color="auto" w:fill="auto"/>
            <w:noWrap/>
            <w:vAlign w:val="bottom"/>
            <w:hideMark/>
          </w:tcPr>
          <w:p w14:paraId="5EF80FD2"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4</w:t>
            </w:r>
          </w:p>
        </w:tc>
      </w:tr>
      <w:tr w:rsidR="00BD4D02" w:rsidRPr="00BD4D02" w14:paraId="0CB5CC91" w14:textId="77777777" w:rsidTr="00050580">
        <w:trPr>
          <w:trHeight w:val="144"/>
        </w:trPr>
        <w:tc>
          <w:tcPr>
            <w:tcW w:w="4500" w:type="dxa"/>
            <w:shd w:val="clear" w:color="auto" w:fill="auto"/>
            <w:noWrap/>
            <w:vAlign w:val="bottom"/>
            <w:hideMark/>
          </w:tcPr>
          <w:p w14:paraId="76FFA8B0"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Website visits</w:t>
            </w:r>
          </w:p>
        </w:tc>
        <w:tc>
          <w:tcPr>
            <w:tcW w:w="770" w:type="dxa"/>
            <w:shd w:val="clear" w:color="auto" w:fill="auto"/>
            <w:noWrap/>
            <w:vAlign w:val="bottom"/>
            <w:hideMark/>
          </w:tcPr>
          <w:p w14:paraId="48F753C2"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53552200"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040642C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7F3B970A"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2C1E4BED"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21538F27" w14:textId="77777777" w:rsidR="00BD4D02" w:rsidRPr="00BD4D02" w:rsidRDefault="00BD4D02" w:rsidP="00BD4D02">
            <w:pPr>
              <w:rPr>
                <w:sz w:val="20"/>
                <w:szCs w:val="20"/>
              </w:rPr>
            </w:pPr>
          </w:p>
        </w:tc>
        <w:tc>
          <w:tcPr>
            <w:tcW w:w="663" w:type="dxa"/>
            <w:shd w:val="clear" w:color="auto" w:fill="auto"/>
            <w:noWrap/>
            <w:vAlign w:val="bottom"/>
            <w:hideMark/>
          </w:tcPr>
          <w:p w14:paraId="1DA78CA8" w14:textId="77777777" w:rsidR="00BD4D02" w:rsidRPr="00BD4D02" w:rsidRDefault="00BD4D02" w:rsidP="00BD4D02">
            <w:pPr>
              <w:rPr>
                <w:sz w:val="20"/>
                <w:szCs w:val="20"/>
              </w:rPr>
            </w:pPr>
          </w:p>
        </w:tc>
        <w:tc>
          <w:tcPr>
            <w:tcW w:w="663" w:type="dxa"/>
            <w:shd w:val="clear" w:color="auto" w:fill="auto"/>
            <w:noWrap/>
            <w:vAlign w:val="bottom"/>
            <w:hideMark/>
          </w:tcPr>
          <w:p w14:paraId="3FCBD96E" w14:textId="77777777" w:rsidR="00BD4D02" w:rsidRPr="00BD4D02" w:rsidRDefault="00BD4D02" w:rsidP="00BD4D02">
            <w:pPr>
              <w:rPr>
                <w:sz w:val="20"/>
                <w:szCs w:val="20"/>
              </w:rPr>
            </w:pPr>
          </w:p>
        </w:tc>
        <w:tc>
          <w:tcPr>
            <w:tcW w:w="663" w:type="dxa"/>
            <w:shd w:val="clear" w:color="auto" w:fill="auto"/>
            <w:noWrap/>
            <w:vAlign w:val="bottom"/>
            <w:hideMark/>
          </w:tcPr>
          <w:p w14:paraId="0A6126FB" w14:textId="77777777" w:rsidR="00BD4D02" w:rsidRPr="00BD4D02" w:rsidRDefault="00BD4D02" w:rsidP="00BD4D02">
            <w:pPr>
              <w:rPr>
                <w:sz w:val="20"/>
                <w:szCs w:val="20"/>
              </w:rPr>
            </w:pPr>
          </w:p>
        </w:tc>
        <w:tc>
          <w:tcPr>
            <w:tcW w:w="663" w:type="dxa"/>
            <w:shd w:val="clear" w:color="auto" w:fill="auto"/>
            <w:noWrap/>
            <w:vAlign w:val="bottom"/>
            <w:hideMark/>
          </w:tcPr>
          <w:p w14:paraId="4C2132BD" w14:textId="77777777" w:rsidR="00BD4D02" w:rsidRPr="00BD4D02" w:rsidRDefault="00BD4D02" w:rsidP="00BD4D02">
            <w:pPr>
              <w:rPr>
                <w:sz w:val="20"/>
                <w:szCs w:val="20"/>
              </w:rPr>
            </w:pPr>
          </w:p>
        </w:tc>
        <w:tc>
          <w:tcPr>
            <w:tcW w:w="663" w:type="dxa"/>
            <w:shd w:val="clear" w:color="auto" w:fill="auto"/>
            <w:noWrap/>
            <w:vAlign w:val="bottom"/>
            <w:hideMark/>
          </w:tcPr>
          <w:p w14:paraId="30A46869" w14:textId="77777777" w:rsidR="00BD4D02" w:rsidRPr="00BD4D02" w:rsidRDefault="00BD4D02" w:rsidP="00BD4D02">
            <w:pPr>
              <w:rPr>
                <w:sz w:val="20"/>
                <w:szCs w:val="20"/>
              </w:rPr>
            </w:pPr>
          </w:p>
        </w:tc>
        <w:tc>
          <w:tcPr>
            <w:tcW w:w="663" w:type="dxa"/>
            <w:shd w:val="clear" w:color="auto" w:fill="auto"/>
            <w:noWrap/>
            <w:vAlign w:val="bottom"/>
            <w:hideMark/>
          </w:tcPr>
          <w:p w14:paraId="2E463F44" w14:textId="77777777" w:rsidR="00BD4D02" w:rsidRPr="00BD4D02" w:rsidRDefault="00BD4D02" w:rsidP="00BD4D02">
            <w:pPr>
              <w:rPr>
                <w:sz w:val="20"/>
                <w:szCs w:val="20"/>
              </w:rPr>
            </w:pPr>
          </w:p>
        </w:tc>
        <w:tc>
          <w:tcPr>
            <w:tcW w:w="1180" w:type="dxa"/>
            <w:shd w:val="clear" w:color="auto" w:fill="auto"/>
            <w:noWrap/>
            <w:vAlign w:val="bottom"/>
            <w:hideMark/>
          </w:tcPr>
          <w:p w14:paraId="57F5D33E"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4</w:t>
            </w:r>
          </w:p>
        </w:tc>
      </w:tr>
      <w:tr w:rsidR="00BD4D02" w:rsidRPr="00BD4D02" w14:paraId="6DB7C335" w14:textId="77777777" w:rsidTr="00050580">
        <w:trPr>
          <w:trHeight w:val="144"/>
        </w:trPr>
        <w:tc>
          <w:tcPr>
            <w:tcW w:w="4500" w:type="dxa"/>
            <w:shd w:val="clear" w:color="auto" w:fill="auto"/>
            <w:noWrap/>
            <w:vAlign w:val="bottom"/>
            <w:hideMark/>
          </w:tcPr>
          <w:p w14:paraId="35757E64" w14:textId="77777777" w:rsidR="00BD4D02" w:rsidRPr="00BD4D02" w:rsidRDefault="00BD4D02" w:rsidP="00BD4D02">
            <w:pPr>
              <w:ind w:firstLineChars="200" w:firstLine="400"/>
              <w:rPr>
                <w:rFonts w:ascii="Calibri" w:hAnsi="Calibri" w:cs="Calibri"/>
                <w:color w:val="000000"/>
                <w:sz w:val="20"/>
                <w:szCs w:val="20"/>
              </w:rPr>
            </w:pPr>
            <w:proofErr w:type="spellStart"/>
            <w:r w:rsidRPr="00BD4D02">
              <w:rPr>
                <w:rFonts w:ascii="Calibri" w:hAnsi="Calibri" w:cs="Calibri"/>
                <w:color w:val="000000"/>
                <w:sz w:val="20"/>
                <w:szCs w:val="20"/>
              </w:rPr>
              <w:t>Youtube</w:t>
            </w:r>
            <w:proofErr w:type="spellEnd"/>
            <w:r w:rsidRPr="00BD4D02">
              <w:rPr>
                <w:rFonts w:ascii="Calibri" w:hAnsi="Calibri" w:cs="Calibri"/>
                <w:color w:val="000000"/>
                <w:sz w:val="20"/>
                <w:szCs w:val="20"/>
              </w:rPr>
              <w:t xml:space="preserve"> &amp; FB - monthly users</w:t>
            </w:r>
          </w:p>
        </w:tc>
        <w:tc>
          <w:tcPr>
            <w:tcW w:w="770" w:type="dxa"/>
            <w:shd w:val="clear" w:color="auto" w:fill="auto"/>
            <w:noWrap/>
            <w:vAlign w:val="bottom"/>
            <w:hideMark/>
          </w:tcPr>
          <w:p w14:paraId="777E8024"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4B06DFA9" w14:textId="77777777" w:rsidR="00BD4D02" w:rsidRPr="00BD4D02" w:rsidRDefault="00BD4D02" w:rsidP="00BD4D02">
            <w:pPr>
              <w:rPr>
                <w:sz w:val="20"/>
                <w:szCs w:val="20"/>
              </w:rPr>
            </w:pPr>
          </w:p>
        </w:tc>
        <w:tc>
          <w:tcPr>
            <w:tcW w:w="663" w:type="dxa"/>
            <w:shd w:val="clear" w:color="auto" w:fill="auto"/>
            <w:noWrap/>
            <w:vAlign w:val="bottom"/>
            <w:hideMark/>
          </w:tcPr>
          <w:p w14:paraId="61BF3687" w14:textId="77777777" w:rsidR="00BD4D02" w:rsidRPr="00BD4D02" w:rsidRDefault="00BD4D02" w:rsidP="00BD4D02">
            <w:pPr>
              <w:rPr>
                <w:sz w:val="20"/>
                <w:szCs w:val="20"/>
              </w:rPr>
            </w:pPr>
          </w:p>
        </w:tc>
        <w:tc>
          <w:tcPr>
            <w:tcW w:w="663" w:type="dxa"/>
            <w:shd w:val="clear" w:color="auto" w:fill="auto"/>
            <w:noWrap/>
            <w:vAlign w:val="bottom"/>
            <w:hideMark/>
          </w:tcPr>
          <w:p w14:paraId="7F9BB49A" w14:textId="77777777" w:rsidR="00BD4D02" w:rsidRPr="00BD4D02" w:rsidRDefault="00BD4D02" w:rsidP="00BD4D02">
            <w:pPr>
              <w:rPr>
                <w:sz w:val="20"/>
                <w:szCs w:val="20"/>
              </w:rPr>
            </w:pPr>
          </w:p>
        </w:tc>
        <w:tc>
          <w:tcPr>
            <w:tcW w:w="663" w:type="dxa"/>
            <w:shd w:val="clear" w:color="auto" w:fill="auto"/>
            <w:noWrap/>
            <w:vAlign w:val="bottom"/>
            <w:hideMark/>
          </w:tcPr>
          <w:p w14:paraId="136C76CD" w14:textId="77777777" w:rsidR="00BD4D02" w:rsidRPr="00BD4D02" w:rsidRDefault="00BD4D02" w:rsidP="00BD4D02">
            <w:pPr>
              <w:rPr>
                <w:sz w:val="20"/>
                <w:szCs w:val="20"/>
              </w:rPr>
            </w:pPr>
          </w:p>
        </w:tc>
        <w:tc>
          <w:tcPr>
            <w:tcW w:w="663" w:type="dxa"/>
            <w:shd w:val="clear" w:color="auto" w:fill="auto"/>
            <w:noWrap/>
            <w:vAlign w:val="bottom"/>
            <w:hideMark/>
          </w:tcPr>
          <w:p w14:paraId="43165DE1" w14:textId="77777777" w:rsidR="00BD4D02" w:rsidRPr="00BD4D02" w:rsidRDefault="00BD4D02" w:rsidP="00BD4D02">
            <w:pPr>
              <w:rPr>
                <w:sz w:val="20"/>
                <w:szCs w:val="20"/>
              </w:rPr>
            </w:pPr>
          </w:p>
        </w:tc>
        <w:tc>
          <w:tcPr>
            <w:tcW w:w="663" w:type="dxa"/>
            <w:shd w:val="clear" w:color="auto" w:fill="auto"/>
            <w:noWrap/>
            <w:vAlign w:val="bottom"/>
            <w:hideMark/>
          </w:tcPr>
          <w:p w14:paraId="4C1C5E8C" w14:textId="77777777" w:rsidR="00BD4D02" w:rsidRPr="00BD4D02" w:rsidRDefault="00BD4D02" w:rsidP="00BD4D02">
            <w:pPr>
              <w:rPr>
                <w:sz w:val="20"/>
                <w:szCs w:val="20"/>
              </w:rPr>
            </w:pPr>
          </w:p>
        </w:tc>
        <w:tc>
          <w:tcPr>
            <w:tcW w:w="663" w:type="dxa"/>
            <w:shd w:val="clear" w:color="auto" w:fill="auto"/>
            <w:noWrap/>
            <w:vAlign w:val="bottom"/>
            <w:hideMark/>
          </w:tcPr>
          <w:p w14:paraId="77640A95" w14:textId="77777777" w:rsidR="00BD4D02" w:rsidRPr="00BD4D02" w:rsidRDefault="00BD4D02" w:rsidP="00BD4D02">
            <w:pPr>
              <w:rPr>
                <w:sz w:val="20"/>
                <w:szCs w:val="20"/>
              </w:rPr>
            </w:pPr>
          </w:p>
        </w:tc>
        <w:tc>
          <w:tcPr>
            <w:tcW w:w="663" w:type="dxa"/>
            <w:shd w:val="clear" w:color="auto" w:fill="auto"/>
            <w:noWrap/>
            <w:vAlign w:val="bottom"/>
            <w:hideMark/>
          </w:tcPr>
          <w:p w14:paraId="53F6DB48" w14:textId="77777777" w:rsidR="00BD4D02" w:rsidRPr="00BD4D02" w:rsidRDefault="00BD4D02" w:rsidP="00BD4D02">
            <w:pPr>
              <w:rPr>
                <w:sz w:val="20"/>
                <w:szCs w:val="20"/>
              </w:rPr>
            </w:pPr>
          </w:p>
        </w:tc>
        <w:tc>
          <w:tcPr>
            <w:tcW w:w="663" w:type="dxa"/>
            <w:shd w:val="clear" w:color="auto" w:fill="auto"/>
            <w:noWrap/>
            <w:vAlign w:val="bottom"/>
            <w:hideMark/>
          </w:tcPr>
          <w:p w14:paraId="40473B63"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07BE23D4"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24712DD8" w14:textId="77777777" w:rsidR="00BD4D02" w:rsidRPr="00BD4D02" w:rsidRDefault="00BD4D02" w:rsidP="00BD4D02">
            <w:pPr>
              <w:rPr>
                <w:sz w:val="20"/>
                <w:szCs w:val="20"/>
              </w:rPr>
            </w:pPr>
          </w:p>
        </w:tc>
        <w:tc>
          <w:tcPr>
            <w:tcW w:w="1180" w:type="dxa"/>
            <w:shd w:val="clear" w:color="auto" w:fill="auto"/>
            <w:noWrap/>
            <w:vAlign w:val="bottom"/>
            <w:hideMark/>
          </w:tcPr>
          <w:p w14:paraId="24F8894B"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61AAB3BC" w14:textId="77777777" w:rsidTr="00050580">
        <w:trPr>
          <w:trHeight w:val="144"/>
        </w:trPr>
        <w:tc>
          <w:tcPr>
            <w:tcW w:w="4500" w:type="dxa"/>
            <w:shd w:val="clear" w:color="auto" w:fill="auto"/>
            <w:noWrap/>
            <w:vAlign w:val="bottom"/>
            <w:hideMark/>
          </w:tcPr>
          <w:p w14:paraId="3DC8B49A" w14:textId="77777777" w:rsidR="00BD4D02" w:rsidRPr="00BD4D02" w:rsidRDefault="00BD4D02" w:rsidP="00BD4D02">
            <w:pPr>
              <w:ind w:firstLineChars="100" w:firstLine="201"/>
              <w:rPr>
                <w:rFonts w:ascii="Calibri" w:hAnsi="Calibri" w:cs="Calibri"/>
                <w:b/>
                <w:bCs/>
                <w:color w:val="000000"/>
                <w:sz w:val="20"/>
                <w:szCs w:val="20"/>
              </w:rPr>
            </w:pPr>
            <w:r w:rsidRPr="00BD4D02">
              <w:rPr>
                <w:rFonts w:ascii="Calibri" w:hAnsi="Calibri" w:cs="Calibri"/>
                <w:b/>
                <w:bCs/>
                <w:color w:val="000000"/>
                <w:sz w:val="20"/>
                <w:szCs w:val="20"/>
              </w:rPr>
              <w:t>Unknown (infographics - no description)</w:t>
            </w:r>
          </w:p>
        </w:tc>
        <w:tc>
          <w:tcPr>
            <w:tcW w:w="770" w:type="dxa"/>
            <w:shd w:val="clear" w:color="auto" w:fill="auto"/>
            <w:noWrap/>
            <w:vAlign w:val="bottom"/>
            <w:hideMark/>
          </w:tcPr>
          <w:p w14:paraId="57C54499" w14:textId="77777777" w:rsidR="00BD4D02" w:rsidRPr="00BD4D02" w:rsidRDefault="00BD4D02" w:rsidP="00BD4D02">
            <w:pPr>
              <w:ind w:firstLineChars="100" w:firstLine="201"/>
              <w:rPr>
                <w:rFonts w:ascii="Calibri" w:hAnsi="Calibri" w:cs="Calibri"/>
                <w:b/>
                <w:bCs/>
                <w:color w:val="000000"/>
                <w:sz w:val="20"/>
                <w:szCs w:val="20"/>
              </w:rPr>
            </w:pPr>
          </w:p>
        </w:tc>
        <w:tc>
          <w:tcPr>
            <w:tcW w:w="663" w:type="dxa"/>
            <w:shd w:val="clear" w:color="auto" w:fill="auto"/>
            <w:noWrap/>
            <w:vAlign w:val="bottom"/>
            <w:hideMark/>
          </w:tcPr>
          <w:p w14:paraId="45E57474" w14:textId="77777777" w:rsidR="00BD4D02" w:rsidRPr="00BD4D02" w:rsidRDefault="00BD4D02" w:rsidP="00BD4D02">
            <w:pPr>
              <w:rPr>
                <w:sz w:val="20"/>
                <w:szCs w:val="20"/>
              </w:rPr>
            </w:pPr>
          </w:p>
        </w:tc>
        <w:tc>
          <w:tcPr>
            <w:tcW w:w="663" w:type="dxa"/>
            <w:shd w:val="clear" w:color="auto" w:fill="auto"/>
            <w:noWrap/>
            <w:vAlign w:val="bottom"/>
            <w:hideMark/>
          </w:tcPr>
          <w:p w14:paraId="0EB15BF0" w14:textId="77777777" w:rsidR="00BD4D02" w:rsidRPr="00BD4D02" w:rsidRDefault="00BD4D02" w:rsidP="00BD4D02">
            <w:pPr>
              <w:rPr>
                <w:sz w:val="20"/>
                <w:szCs w:val="20"/>
              </w:rPr>
            </w:pPr>
          </w:p>
        </w:tc>
        <w:tc>
          <w:tcPr>
            <w:tcW w:w="663" w:type="dxa"/>
            <w:shd w:val="clear" w:color="auto" w:fill="auto"/>
            <w:noWrap/>
            <w:vAlign w:val="bottom"/>
            <w:hideMark/>
          </w:tcPr>
          <w:p w14:paraId="4520B8D7" w14:textId="77777777" w:rsidR="00BD4D02" w:rsidRPr="00BD4D02" w:rsidRDefault="00BD4D02" w:rsidP="00BD4D02">
            <w:pPr>
              <w:rPr>
                <w:sz w:val="20"/>
                <w:szCs w:val="20"/>
              </w:rPr>
            </w:pPr>
          </w:p>
        </w:tc>
        <w:tc>
          <w:tcPr>
            <w:tcW w:w="663" w:type="dxa"/>
            <w:shd w:val="clear" w:color="auto" w:fill="auto"/>
            <w:noWrap/>
            <w:vAlign w:val="bottom"/>
            <w:hideMark/>
          </w:tcPr>
          <w:p w14:paraId="135FE1DB" w14:textId="77777777" w:rsidR="00BD4D02" w:rsidRPr="00BD4D02" w:rsidRDefault="00BD4D02" w:rsidP="00BD4D02">
            <w:pPr>
              <w:rPr>
                <w:sz w:val="20"/>
                <w:szCs w:val="20"/>
              </w:rPr>
            </w:pPr>
          </w:p>
        </w:tc>
        <w:tc>
          <w:tcPr>
            <w:tcW w:w="663" w:type="dxa"/>
            <w:shd w:val="clear" w:color="auto" w:fill="auto"/>
            <w:noWrap/>
            <w:vAlign w:val="bottom"/>
            <w:hideMark/>
          </w:tcPr>
          <w:p w14:paraId="6068488D" w14:textId="77777777" w:rsidR="00BD4D02" w:rsidRPr="00BD4D02" w:rsidRDefault="00BD4D02" w:rsidP="00BD4D02">
            <w:pPr>
              <w:rPr>
                <w:sz w:val="20"/>
                <w:szCs w:val="20"/>
              </w:rPr>
            </w:pPr>
          </w:p>
        </w:tc>
        <w:tc>
          <w:tcPr>
            <w:tcW w:w="663" w:type="dxa"/>
            <w:shd w:val="clear" w:color="auto" w:fill="auto"/>
            <w:noWrap/>
            <w:vAlign w:val="bottom"/>
            <w:hideMark/>
          </w:tcPr>
          <w:p w14:paraId="1BB439B1" w14:textId="77777777" w:rsidR="00BD4D02" w:rsidRPr="00BD4D02" w:rsidRDefault="00BD4D02" w:rsidP="00BD4D02">
            <w:pPr>
              <w:rPr>
                <w:sz w:val="20"/>
                <w:szCs w:val="20"/>
              </w:rPr>
            </w:pPr>
          </w:p>
        </w:tc>
        <w:tc>
          <w:tcPr>
            <w:tcW w:w="663" w:type="dxa"/>
            <w:shd w:val="clear" w:color="auto" w:fill="auto"/>
            <w:noWrap/>
            <w:vAlign w:val="bottom"/>
            <w:hideMark/>
          </w:tcPr>
          <w:p w14:paraId="6C16076D" w14:textId="77777777" w:rsidR="00BD4D02" w:rsidRPr="00BD4D02" w:rsidRDefault="00BD4D02" w:rsidP="00BD4D02">
            <w:pPr>
              <w:rPr>
                <w:sz w:val="20"/>
                <w:szCs w:val="20"/>
              </w:rPr>
            </w:pPr>
          </w:p>
        </w:tc>
        <w:tc>
          <w:tcPr>
            <w:tcW w:w="663" w:type="dxa"/>
            <w:shd w:val="clear" w:color="auto" w:fill="auto"/>
            <w:noWrap/>
            <w:vAlign w:val="bottom"/>
            <w:hideMark/>
          </w:tcPr>
          <w:p w14:paraId="2427CF6B" w14:textId="77777777" w:rsidR="00BD4D02" w:rsidRPr="00BD4D02" w:rsidRDefault="00BD4D02" w:rsidP="00BD4D02">
            <w:pPr>
              <w:rPr>
                <w:sz w:val="20"/>
                <w:szCs w:val="20"/>
              </w:rPr>
            </w:pPr>
          </w:p>
        </w:tc>
        <w:tc>
          <w:tcPr>
            <w:tcW w:w="663" w:type="dxa"/>
            <w:shd w:val="clear" w:color="auto" w:fill="auto"/>
            <w:noWrap/>
            <w:vAlign w:val="bottom"/>
            <w:hideMark/>
          </w:tcPr>
          <w:p w14:paraId="264D083A" w14:textId="77777777" w:rsidR="00BD4D02" w:rsidRPr="00BD4D02" w:rsidRDefault="00BD4D02" w:rsidP="00BD4D02">
            <w:pPr>
              <w:rPr>
                <w:sz w:val="20"/>
                <w:szCs w:val="20"/>
              </w:rPr>
            </w:pPr>
          </w:p>
        </w:tc>
        <w:tc>
          <w:tcPr>
            <w:tcW w:w="663" w:type="dxa"/>
            <w:shd w:val="clear" w:color="auto" w:fill="auto"/>
            <w:noWrap/>
            <w:vAlign w:val="bottom"/>
            <w:hideMark/>
          </w:tcPr>
          <w:p w14:paraId="74415011"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12</w:t>
            </w:r>
          </w:p>
        </w:tc>
        <w:tc>
          <w:tcPr>
            <w:tcW w:w="663" w:type="dxa"/>
            <w:shd w:val="clear" w:color="auto" w:fill="auto"/>
            <w:noWrap/>
            <w:vAlign w:val="bottom"/>
            <w:hideMark/>
          </w:tcPr>
          <w:p w14:paraId="08A98275" w14:textId="77777777" w:rsidR="00BD4D02" w:rsidRPr="00BD4D02" w:rsidRDefault="00BD4D02" w:rsidP="00BD4D02">
            <w:pPr>
              <w:jc w:val="right"/>
              <w:rPr>
                <w:rFonts w:ascii="Calibri" w:hAnsi="Calibri" w:cs="Calibri"/>
                <w:b/>
                <w:bCs/>
                <w:color w:val="000000"/>
                <w:sz w:val="20"/>
                <w:szCs w:val="20"/>
              </w:rPr>
            </w:pPr>
          </w:p>
        </w:tc>
        <w:tc>
          <w:tcPr>
            <w:tcW w:w="1180" w:type="dxa"/>
            <w:shd w:val="clear" w:color="auto" w:fill="auto"/>
            <w:noWrap/>
            <w:vAlign w:val="bottom"/>
            <w:hideMark/>
          </w:tcPr>
          <w:p w14:paraId="69FE73BB"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12</w:t>
            </w:r>
          </w:p>
        </w:tc>
      </w:tr>
      <w:tr w:rsidR="00BD4D02" w:rsidRPr="00BD4D02" w14:paraId="75C8C6FD" w14:textId="77777777" w:rsidTr="00050580">
        <w:trPr>
          <w:trHeight w:val="144"/>
        </w:trPr>
        <w:tc>
          <w:tcPr>
            <w:tcW w:w="4500" w:type="dxa"/>
            <w:shd w:val="clear" w:color="auto" w:fill="auto"/>
            <w:noWrap/>
            <w:vAlign w:val="bottom"/>
            <w:hideMark/>
          </w:tcPr>
          <w:p w14:paraId="6CBE153A"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Infographic - unlabelled</w:t>
            </w:r>
          </w:p>
        </w:tc>
        <w:tc>
          <w:tcPr>
            <w:tcW w:w="770" w:type="dxa"/>
            <w:shd w:val="clear" w:color="auto" w:fill="auto"/>
            <w:noWrap/>
            <w:vAlign w:val="bottom"/>
            <w:hideMark/>
          </w:tcPr>
          <w:p w14:paraId="53413B6B"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089160B3" w14:textId="77777777" w:rsidR="00BD4D02" w:rsidRPr="00BD4D02" w:rsidRDefault="00BD4D02" w:rsidP="00BD4D02">
            <w:pPr>
              <w:rPr>
                <w:sz w:val="20"/>
                <w:szCs w:val="20"/>
              </w:rPr>
            </w:pPr>
          </w:p>
        </w:tc>
        <w:tc>
          <w:tcPr>
            <w:tcW w:w="663" w:type="dxa"/>
            <w:shd w:val="clear" w:color="auto" w:fill="auto"/>
            <w:noWrap/>
            <w:vAlign w:val="bottom"/>
            <w:hideMark/>
          </w:tcPr>
          <w:p w14:paraId="4C376AEC" w14:textId="77777777" w:rsidR="00BD4D02" w:rsidRPr="00BD4D02" w:rsidRDefault="00BD4D02" w:rsidP="00BD4D02">
            <w:pPr>
              <w:rPr>
                <w:sz w:val="20"/>
                <w:szCs w:val="20"/>
              </w:rPr>
            </w:pPr>
          </w:p>
        </w:tc>
        <w:tc>
          <w:tcPr>
            <w:tcW w:w="663" w:type="dxa"/>
            <w:shd w:val="clear" w:color="auto" w:fill="auto"/>
            <w:noWrap/>
            <w:vAlign w:val="bottom"/>
            <w:hideMark/>
          </w:tcPr>
          <w:p w14:paraId="050DCCE9" w14:textId="77777777" w:rsidR="00BD4D02" w:rsidRPr="00BD4D02" w:rsidRDefault="00BD4D02" w:rsidP="00BD4D02">
            <w:pPr>
              <w:rPr>
                <w:sz w:val="20"/>
                <w:szCs w:val="20"/>
              </w:rPr>
            </w:pPr>
          </w:p>
        </w:tc>
        <w:tc>
          <w:tcPr>
            <w:tcW w:w="663" w:type="dxa"/>
            <w:shd w:val="clear" w:color="auto" w:fill="auto"/>
            <w:noWrap/>
            <w:vAlign w:val="bottom"/>
            <w:hideMark/>
          </w:tcPr>
          <w:p w14:paraId="7D7AACB4" w14:textId="77777777" w:rsidR="00BD4D02" w:rsidRPr="00BD4D02" w:rsidRDefault="00BD4D02" w:rsidP="00BD4D02">
            <w:pPr>
              <w:rPr>
                <w:sz w:val="20"/>
                <w:szCs w:val="20"/>
              </w:rPr>
            </w:pPr>
          </w:p>
        </w:tc>
        <w:tc>
          <w:tcPr>
            <w:tcW w:w="663" w:type="dxa"/>
            <w:shd w:val="clear" w:color="auto" w:fill="auto"/>
            <w:noWrap/>
            <w:vAlign w:val="bottom"/>
            <w:hideMark/>
          </w:tcPr>
          <w:p w14:paraId="66408015" w14:textId="77777777" w:rsidR="00BD4D02" w:rsidRPr="00BD4D02" w:rsidRDefault="00BD4D02" w:rsidP="00BD4D02">
            <w:pPr>
              <w:rPr>
                <w:sz w:val="20"/>
                <w:szCs w:val="20"/>
              </w:rPr>
            </w:pPr>
          </w:p>
        </w:tc>
        <w:tc>
          <w:tcPr>
            <w:tcW w:w="663" w:type="dxa"/>
            <w:shd w:val="clear" w:color="auto" w:fill="auto"/>
            <w:noWrap/>
            <w:vAlign w:val="bottom"/>
            <w:hideMark/>
          </w:tcPr>
          <w:p w14:paraId="537E87DC" w14:textId="77777777" w:rsidR="00BD4D02" w:rsidRPr="00BD4D02" w:rsidRDefault="00BD4D02" w:rsidP="00BD4D02">
            <w:pPr>
              <w:rPr>
                <w:sz w:val="20"/>
                <w:szCs w:val="20"/>
              </w:rPr>
            </w:pPr>
          </w:p>
        </w:tc>
        <w:tc>
          <w:tcPr>
            <w:tcW w:w="663" w:type="dxa"/>
            <w:shd w:val="clear" w:color="auto" w:fill="auto"/>
            <w:noWrap/>
            <w:vAlign w:val="bottom"/>
            <w:hideMark/>
          </w:tcPr>
          <w:p w14:paraId="382EE1C8" w14:textId="77777777" w:rsidR="00BD4D02" w:rsidRPr="00BD4D02" w:rsidRDefault="00BD4D02" w:rsidP="00BD4D02">
            <w:pPr>
              <w:rPr>
                <w:sz w:val="20"/>
                <w:szCs w:val="20"/>
              </w:rPr>
            </w:pPr>
          </w:p>
        </w:tc>
        <w:tc>
          <w:tcPr>
            <w:tcW w:w="663" w:type="dxa"/>
            <w:shd w:val="clear" w:color="auto" w:fill="auto"/>
            <w:noWrap/>
            <w:vAlign w:val="bottom"/>
            <w:hideMark/>
          </w:tcPr>
          <w:p w14:paraId="79988DD8" w14:textId="77777777" w:rsidR="00BD4D02" w:rsidRPr="00BD4D02" w:rsidRDefault="00BD4D02" w:rsidP="00BD4D02">
            <w:pPr>
              <w:rPr>
                <w:sz w:val="20"/>
                <w:szCs w:val="20"/>
              </w:rPr>
            </w:pPr>
          </w:p>
        </w:tc>
        <w:tc>
          <w:tcPr>
            <w:tcW w:w="663" w:type="dxa"/>
            <w:shd w:val="clear" w:color="auto" w:fill="auto"/>
            <w:noWrap/>
            <w:vAlign w:val="bottom"/>
            <w:hideMark/>
          </w:tcPr>
          <w:p w14:paraId="6C868FA7" w14:textId="77777777" w:rsidR="00BD4D02" w:rsidRPr="00BD4D02" w:rsidRDefault="00BD4D02" w:rsidP="00BD4D02">
            <w:pPr>
              <w:rPr>
                <w:sz w:val="20"/>
                <w:szCs w:val="20"/>
              </w:rPr>
            </w:pPr>
          </w:p>
        </w:tc>
        <w:tc>
          <w:tcPr>
            <w:tcW w:w="663" w:type="dxa"/>
            <w:shd w:val="clear" w:color="auto" w:fill="auto"/>
            <w:noWrap/>
            <w:vAlign w:val="bottom"/>
            <w:hideMark/>
          </w:tcPr>
          <w:p w14:paraId="0141E100"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12</w:t>
            </w:r>
          </w:p>
        </w:tc>
        <w:tc>
          <w:tcPr>
            <w:tcW w:w="663" w:type="dxa"/>
            <w:shd w:val="clear" w:color="auto" w:fill="auto"/>
            <w:noWrap/>
            <w:vAlign w:val="bottom"/>
            <w:hideMark/>
          </w:tcPr>
          <w:p w14:paraId="57615CB2" w14:textId="77777777" w:rsidR="00BD4D02" w:rsidRPr="00BD4D02" w:rsidRDefault="00BD4D02" w:rsidP="00BD4D02">
            <w:pPr>
              <w:jc w:val="right"/>
              <w:rPr>
                <w:rFonts w:ascii="Calibri" w:hAnsi="Calibri" w:cs="Calibri"/>
                <w:color w:val="000000"/>
                <w:sz w:val="20"/>
                <w:szCs w:val="20"/>
              </w:rPr>
            </w:pPr>
          </w:p>
        </w:tc>
        <w:tc>
          <w:tcPr>
            <w:tcW w:w="1180" w:type="dxa"/>
            <w:shd w:val="clear" w:color="auto" w:fill="auto"/>
            <w:noWrap/>
            <w:vAlign w:val="bottom"/>
            <w:hideMark/>
          </w:tcPr>
          <w:p w14:paraId="4D2DEC23"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12</w:t>
            </w:r>
          </w:p>
        </w:tc>
      </w:tr>
      <w:tr w:rsidR="00BD4D02" w:rsidRPr="00BD4D02" w14:paraId="0AE90680" w14:textId="77777777" w:rsidTr="00050580">
        <w:trPr>
          <w:trHeight w:val="144"/>
        </w:trPr>
        <w:tc>
          <w:tcPr>
            <w:tcW w:w="4500" w:type="dxa"/>
            <w:shd w:val="clear" w:color="auto" w:fill="auto"/>
            <w:noWrap/>
            <w:vAlign w:val="bottom"/>
            <w:hideMark/>
          </w:tcPr>
          <w:p w14:paraId="3286D4AB" w14:textId="77777777" w:rsidR="00BD4D02" w:rsidRPr="00BD4D02" w:rsidRDefault="00BD4D02" w:rsidP="00BD4D02">
            <w:pPr>
              <w:rPr>
                <w:rFonts w:ascii="Calibri" w:hAnsi="Calibri" w:cs="Calibri"/>
                <w:b/>
                <w:bCs/>
                <w:color w:val="000000"/>
                <w:sz w:val="20"/>
                <w:szCs w:val="20"/>
              </w:rPr>
            </w:pPr>
            <w:r w:rsidRPr="00BD4D02">
              <w:rPr>
                <w:rFonts w:ascii="Calibri" w:hAnsi="Calibri" w:cs="Calibri"/>
                <w:b/>
                <w:bCs/>
                <w:color w:val="000000"/>
                <w:sz w:val="20"/>
                <w:szCs w:val="20"/>
              </w:rPr>
              <w:t>Telecom</w:t>
            </w:r>
          </w:p>
        </w:tc>
        <w:tc>
          <w:tcPr>
            <w:tcW w:w="770" w:type="dxa"/>
            <w:shd w:val="clear" w:color="auto" w:fill="auto"/>
            <w:noWrap/>
            <w:vAlign w:val="bottom"/>
            <w:hideMark/>
          </w:tcPr>
          <w:p w14:paraId="7999683A"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81</w:t>
            </w:r>
          </w:p>
        </w:tc>
        <w:tc>
          <w:tcPr>
            <w:tcW w:w="663" w:type="dxa"/>
            <w:shd w:val="clear" w:color="auto" w:fill="auto"/>
            <w:noWrap/>
            <w:vAlign w:val="bottom"/>
            <w:hideMark/>
          </w:tcPr>
          <w:p w14:paraId="0D407D8C"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63</w:t>
            </w:r>
          </w:p>
        </w:tc>
        <w:tc>
          <w:tcPr>
            <w:tcW w:w="663" w:type="dxa"/>
            <w:shd w:val="clear" w:color="auto" w:fill="auto"/>
            <w:noWrap/>
            <w:vAlign w:val="bottom"/>
            <w:hideMark/>
          </w:tcPr>
          <w:p w14:paraId="7E1D1CBA"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91</w:t>
            </w:r>
          </w:p>
        </w:tc>
        <w:tc>
          <w:tcPr>
            <w:tcW w:w="663" w:type="dxa"/>
            <w:shd w:val="clear" w:color="auto" w:fill="auto"/>
            <w:noWrap/>
            <w:vAlign w:val="bottom"/>
            <w:hideMark/>
          </w:tcPr>
          <w:p w14:paraId="3DE4069A"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102</w:t>
            </w:r>
          </w:p>
        </w:tc>
        <w:tc>
          <w:tcPr>
            <w:tcW w:w="663" w:type="dxa"/>
            <w:shd w:val="clear" w:color="auto" w:fill="auto"/>
            <w:noWrap/>
            <w:vAlign w:val="bottom"/>
            <w:hideMark/>
          </w:tcPr>
          <w:p w14:paraId="6FDE25AC"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109</w:t>
            </w:r>
          </w:p>
        </w:tc>
        <w:tc>
          <w:tcPr>
            <w:tcW w:w="663" w:type="dxa"/>
            <w:shd w:val="clear" w:color="auto" w:fill="auto"/>
            <w:noWrap/>
            <w:vAlign w:val="bottom"/>
            <w:hideMark/>
          </w:tcPr>
          <w:p w14:paraId="38582E9F"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139</w:t>
            </w:r>
          </w:p>
        </w:tc>
        <w:tc>
          <w:tcPr>
            <w:tcW w:w="663" w:type="dxa"/>
            <w:shd w:val="clear" w:color="auto" w:fill="auto"/>
            <w:noWrap/>
            <w:vAlign w:val="bottom"/>
            <w:hideMark/>
          </w:tcPr>
          <w:p w14:paraId="2A015C69"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166</w:t>
            </w:r>
          </w:p>
        </w:tc>
        <w:tc>
          <w:tcPr>
            <w:tcW w:w="663" w:type="dxa"/>
            <w:shd w:val="clear" w:color="auto" w:fill="auto"/>
            <w:noWrap/>
            <w:vAlign w:val="bottom"/>
            <w:hideMark/>
          </w:tcPr>
          <w:p w14:paraId="1142E909"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161</w:t>
            </w:r>
          </w:p>
        </w:tc>
        <w:tc>
          <w:tcPr>
            <w:tcW w:w="663" w:type="dxa"/>
            <w:shd w:val="clear" w:color="auto" w:fill="auto"/>
            <w:noWrap/>
            <w:vAlign w:val="bottom"/>
            <w:hideMark/>
          </w:tcPr>
          <w:p w14:paraId="4EF2BD49"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157</w:t>
            </w:r>
          </w:p>
        </w:tc>
        <w:tc>
          <w:tcPr>
            <w:tcW w:w="663" w:type="dxa"/>
            <w:shd w:val="clear" w:color="auto" w:fill="auto"/>
            <w:noWrap/>
            <w:vAlign w:val="bottom"/>
            <w:hideMark/>
          </w:tcPr>
          <w:p w14:paraId="51546A24"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179</w:t>
            </w:r>
          </w:p>
        </w:tc>
        <w:tc>
          <w:tcPr>
            <w:tcW w:w="663" w:type="dxa"/>
            <w:shd w:val="clear" w:color="auto" w:fill="auto"/>
            <w:noWrap/>
            <w:vAlign w:val="bottom"/>
            <w:hideMark/>
          </w:tcPr>
          <w:p w14:paraId="2E78D201"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118</w:t>
            </w:r>
          </w:p>
        </w:tc>
        <w:tc>
          <w:tcPr>
            <w:tcW w:w="663" w:type="dxa"/>
            <w:shd w:val="clear" w:color="auto" w:fill="auto"/>
            <w:noWrap/>
            <w:vAlign w:val="bottom"/>
            <w:hideMark/>
          </w:tcPr>
          <w:p w14:paraId="6C1D2B8E"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158</w:t>
            </w:r>
          </w:p>
        </w:tc>
        <w:tc>
          <w:tcPr>
            <w:tcW w:w="1180" w:type="dxa"/>
            <w:shd w:val="clear" w:color="auto" w:fill="auto"/>
            <w:noWrap/>
            <w:vAlign w:val="bottom"/>
            <w:hideMark/>
          </w:tcPr>
          <w:p w14:paraId="361CD375"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1524</w:t>
            </w:r>
          </w:p>
        </w:tc>
      </w:tr>
      <w:tr w:rsidR="00BD4D02" w:rsidRPr="00BD4D02" w14:paraId="4CBA3059" w14:textId="77777777" w:rsidTr="00050580">
        <w:trPr>
          <w:trHeight w:val="144"/>
        </w:trPr>
        <w:tc>
          <w:tcPr>
            <w:tcW w:w="4500" w:type="dxa"/>
            <w:shd w:val="clear" w:color="auto" w:fill="auto"/>
            <w:noWrap/>
            <w:vAlign w:val="bottom"/>
            <w:hideMark/>
          </w:tcPr>
          <w:p w14:paraId="28AB0B8F" w14:textId="77777777" w:rsidR="00BD4D02" w:rsidRPr="00BD4D02" w:rsidRDefault="00BD4D02" w:rsidP="00BD4D02">
            <w:pPr>
              <w:ind w:firstLineChars="100" w:firstLine="201"/>
              <w:rPr>
                <w:rFonts w:ascii="Calibri" w:hAnsi="Calibri" w:cs="Calibri"/>
                <w:b/>
                <w:bCs/>
                <w:color w:val="000000"/>
                <w:sz w:val="20"/>
                <w:szCs w:val="20"/>
              </w:rPr>
            </w:pPr>
            <w:r w:rsidRPr="00BD4D02">
              <w:rPr>
                <w:rFonts w:ascii="Calibri" w:hAnsi="Calibri" w:cs="Calibri"/>
                <w:b/>
                <w:bCs/>
                <w:color w:val="000000"/>
                <w:sz w:val="20"/>
                <w:szCs w:val="20"/>
              </w:rPr>
              <w:t>Industry structure</w:t>
            </w:r>
          </w:p>
        </w:tc>
        <w:tc>
          <w:tcPr>
            <w:tcW w:w="770" w:type="dxa"/>
            <w:shd w:val="clear" w:color="auto" w:fill="auto"/>
            <w:noWrap/>
            <w:vAlign w:val="bottom"/>
            <w:hideMark/>
          </w:tcPr>
          <w:p w14:paraId="44E7231F"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8</w:t>
            </w:r>
          </w:p>
        </w:tc>
        <w:tc>
          <w:tcPr>
            <w:tcW w:w="663" w:type="dxa"/>
            <w:shd w:val="clear" w:color="auto" w:fill="auto"/>
            <w:noWrap/>
            <w:vAlign w:val="bottom"/>
            <w:hideMark/>
          </w:tcPr>
          <w:p w14:paraId="723B429C"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6</w:t>
            </w:r>
          </w:p>
        </w:tc>
        <w:tc>
          <w:tcPr>
            <w:tcW w:w="663" w:type="dxa"/>
            <w:shd w:val="clear" w:color="auto" w:fill="auto"/>
            <w:noWrap/>
            <w:vAlign w:val="bottom"/>
            <w:hideMark/>
          </w:tcPr>
          <w:p w14:paraId="66775F85"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10</w:t>
            </w:r>
          </w:p>
        </w:tc>
        <w:tc>
          <w:tcPr>
            <w:tcW w:w="663" w:type="dxa"/>
            <w:shd w:val="clear" w:color="auto" w:fill="auto"/>
            <w:noWrap/>
            <w:vAlign w:val="bottom"/>
            <w:hideMark/>
          </w:tcPr>
          <w:p w14:paraId="0C984D1B"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9</w:t>
            </w:r>
          </w:p>
        </w:tc>
        <w:tc>
          <w:tcPr>
            <w:tcW w:w="663" w:type="dxa"/>
            <w:shd w:val="clear" w:color="auto" w:fill="auto"/>
            <w:noWrap/>
            <w:vAlign w:val="bottom"/>
            <w:hideMark/>
          </w:tcPr>
          <w:p w14:paraId="49D2CBD7"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10</w:t>
            </w:r>
          </w:p>
        </w:tc>
        <w:tc>
          <w:tcPr>
            <w:tcW w:w="663" w:type="dxa"/>
            <w:shd w:val="clear" w:color="auto" w:fill="auto"/>
            <w:noWrap/>
            <w:vAlign w:val="bottom"/>
            <w:hideMark/>
          </w:tcPr>
          <w:p w14:paraId="36E2D870"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10</w:t>
            </w:r>
          </w:p>
        </w:tc>
        <w:tc>
          <w:tcPr>
            <w:tcW w:w="663" w:type="dxa"/>
            <w:shd w:val="clear" w:color="auto" w:fill="auto"/>
            <w:noWrap/>
            <w:vAlign w:val="bottom"/>
            <w:hideMark/>
          </w:tcPr>
          <w:p w14:paraId="379618A7"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17</w:t>
            </w:r>
          </w:p>
        </w:tc>
        <w:tc>
          <w:tcPr>
            <w:tcW w:w="663" w:type="dxa"/>
            <w:shd w:val="clear" w:color="auto" w:fill="auto"/>
            <w:noWrap/>
            <w:vAlign w:val="bottom"/>
            <w:hideMark/>
          </w:tcPr>
          <w:p w14:paraId="143CA1F3"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14</w:t>
            </w:r>
          </w:p>
        </w:tc>
        <w:tc>
          <w:tcPr>
            <w:tcW w:w="663" w:type="dxa"/>
            <w:shd w:val="clear" w:color="auto" w:fill="auto"/>
            <w:noWrap/>
            <w:vAlign w:val="bottom"/>
            <w:hideMark/>
          </w:tcPr>
          <w:p w14:paraId="751DB49A"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6</w:t>
            </w:r>
          </w:p>
        </w:tc>
        <w:tc>
          <w:tcPr>
            <w:tcW w:w="663" w:type="dxa"/>
            <w:shd w:val="clear" w:color="auto" w:fill="auto"/>
            <w:noWrap/>
            <w:vAlign w:val="bottom"/>
            <w:hideMark/>
          </w:tcPr>
          <w:p w14:paraId="0FA6632C"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6</w:t>
            </w:r>
          </w:p>
        </w:tc>
        <w:tc>
          <w:tcPr>
            <w:tcW w:w="663" w:type="dxa"/>
            <w:shd w:val="clear" w:color="auto" w:fill="auto"/>
            <w:noWrap/>
            <w:vAlign w:val="bottom"/>
            <w:hideMark/>
          </w:tcPr>
          <w:p w14:paraId="7D373FC2"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4</w:t>
            </w:r>
          </w:p>
        </w:tc>
        <w:tc>
          <w:tcPr>
            <w:tcW w:w="663" w:type="dxa"/>
            <w:shd w:val="clear" w:color="auto" w:fill="auto"/>
            <w:noWrap/>
            <w:vAlign w:val="bottom"/>
            <w:hideMark/>
          </w:tcPr>
          <w:p w14:paraId="4B95FF32"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14</w:t>
            </w:r>
          </w:p>
        </w:tc>
        <w:tc>
          <w:tcPr>
            <w:tcW w:w="1180" w:type="dxa"/>
            <w:shd w:val="clear" w:color="auto" w:fill="auto"/>
            <w:noWrap/>
            <w:vAlign w:val="bottom"/>
            <w:hideMark/>
          </w:tcPr>
          <w:p w14:paraId="546BF59B"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114</w:t>
            </w:r>
          </w:p>
        </w:tc>
      </w:tr>
      <w:tr w:rsidR="00BD4D02" w:rsidRPr="00BD4D02" w14:paraId="6E2BD2B0" w14:textId="77777777" w:rsidTr="00050580">
        <w:trPr>
          <w:trHeight w:val="144"/>
        </w:trPr>
        <w:tc>
          <w:tcPr>
            <w:tcW w:w="4500" w:type="dxa"/>
            <w:shd w:val="clear" w:color="auto" w:fill="auto"/>
            <w:noWrap/>
            <w:vAlign w:val="bottom"/>
            <w:hideMark/>
          </w:tcPr>
          <w:p w14:paraId="1DDD9589"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Alternative TSP - local lines</w:t>
            </w:r>
          </w:p>
        </w:tc>
        <w:tc>
          <w:tcPr>
            <w:tcW w:w="770" w:type="dxa"/>
            <w:shd w:val="clear" w:color="auto" w:fill="auto"/>
            <w:noWrap/>
            <w:vAlign w:val="bottom"/>
            <w:hideMark/>
          </w:tcPr>
          <w:p w14:paraId="58BE5C05"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19DD0EF3"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50933FAA"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3BFE5039"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26587107"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29F4D69C"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30D9F9F0"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355628CE"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45683EA7"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4B386203"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4D14E2A8"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35483181" w14:textId="77777777" w:rsidR="00BD4D02" w:rsidRPr="00BD4D02" w:rsidRDefault="00BD4D02" w:rsidP="00BD4D02">
            <w:pPr>
              <w:rPr>
                <w:sz w:val="20"/>
                <w:szCs w:val="20"/>
              </w:rPr>
            </w:pPr>
          </w:p>
        </w:tc>
        <w:tc>
          <w:tcPr>
            <w:tcW w:w="1180" w:type="dxa"/>
            <w:shd w:val="clear" w:color="auto" w:fill="auto"/>
            <w:noWrap/>
            <w:vAlign w:val="bottom"/>
            <w:hideMark/>
          </w:tcPr>
          <w:p w14:paraId="2D9FFFFA"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18</w:t>
            </w:r>
          </w:p>
        </w:tc>
      </w:tr>
      <w:tr w:rsidR="00BD4D02" w:rsidRPr="00BD4D02" w14:paraId="5A6A8972" w14:textId="77777777" w:rsidTr="00050580">
        <w:trPr>
          <w:trHeight w:val="144"/>
        </w:trPr>
        <w:tc>
          <w:tcPr>
            <w:tcW w:w="4500" w:type="dxa"/>
            <w:shd w:val="clear" w:color="auto" w:fill="auto"/>
            <w:noWrap/>
            <w:vAlign w:val="bottom"/>
            <w:hideMark/>
          </w:tcPr>
          <w:p w14:paraId="223EA4F9"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Broadband - mobile</w:t>
            </w:r>
          </w:p>
        </w:tc>
        <w:tc>
          <w:tcPr>
            <w:tcW w:w="770" w:type="dxa"/>
            <w:shd w:val="clear" w:color="auto" w:fill="auto"/>
            <w:noWrap/>
            <w:vAlign w:val="bottom"/>
            <w:hideMark/>
          </w:tcPr>
          <w:p w14:paraId="584BA1D2"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688BEC6C" w14:textId="77777777" w:rsidR="00BD4D02" w:rsidRPr="00BD4D02" w:rsidRDefault="00BD4D02" w:rsidP="00BD4D02">
            <w:pPr>
              <w:rPr>
                <w:sz w:val="20"/>
                <w:szCs w:val="20"/>
              </w:rPr>
            </w:pPr>
          </w:p>
        </w:tc>
        <w:tc>
          <w:tcPr>
            <w:tcW w:w="663" w:type="dxa"/>
            <w:shd w:val="clear" w:color="auto" w:fill="auto"/>
            <w:noWrap/>
            <w:vAlign w:val="bottom"/>
            <w:hideMark/>
          </w:tcPr>
          <w:p w14:paraId="5AF9E418" w14:textId="77777777" w:rsidR="00BD4D02" w:rsidRPr="00BD4D02" w:rsidRDefault="00BD4D02" w:rsidP="00BD4D02">
            <w:pPr>
              <w:rPr>
                <w:sz w:val="20"/>
                <w:szCs w:val="20"/>
              </w:rPr>
            </w:pPr>
          </w:p>
        </w:tc>
        <w:tc>
          <w:tcPr>
            <w:tcW w:w="663" w:type="dxa"/>
            <w:shd w:val="clear" w:color="auto" w:fill="auto"/>
            <w:noWrap/>
            <w:vAlign w:val="bottom"/>
            <w:hideMark/>
          </w:tcPr>
          <w:p w14:paraId="3FB04609"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687B8E86"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6717A0EA"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108522FA"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5E9B8EDC"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10C4770D" w14:textId="77777777" w:rsidR="00BD4D02" w:rsidRPr="00BD4D02" w:rsidRDefault="00BD4D02" w:rsidP="00BD4D02">
            <w:pPr>
              <w:rPr>
                <w:sz w:val="20"/>
                <w:szCs w:val="20"/>
              </w:rPr>
            </w:pPr>
          </w:p>
        </w:tc>
        <w:tc>
          <w:tcPr>
            <w:tcW w:w="663" w:type="dxa"/>
            <w:shd w:val="clear" w:color="auto" w:fill="auto"/>
            <w:noWrap/>
            <w:vAlign w:val="bottom"/>
            <w:hideMark/>
          </w:tcPr>
          <w:p w14:paraId="5C17DB21" w14:textId="77777777" w:rsidR="00BD4D02" w:rsidRPr="00BD4D02" w:rsidRDefault="00BD4D02" w:rsidP="00BD4D02">
            <w:pPr>
              <w:rPr>
                <w:sz w:val="20"/>
                <w:szCs w:val="20"/>
              </w:rPr>
            </w:pPr>
          </w:p>
        </w:tc>
        <w:tc>
          <w:tcPr>
            <w:tcW w:w="663" w:type="dxa"/>
            <w:shd w:val="clear" w:color="auto" w:fill="auto"/>
            <w:noWrap/>
            <w:vAlign w:val="bottom"/>
            <w:hideMark/>
          </w:tcPr>
          <w:p w14:paraId="1A3E5DAD" w14:textId="77777777" w:rsidR="00BD4D02" w:rsidRPr="00BD4D02" w:rsidRDefault="00BD4D02" w:rsidP="00BD4D02">
            <w:pPr>
              <w:rPr>
                <w:sz w:val="20"/>
                <w:szCs w:val="20"/>
              </w:rPr>
            </w:pPr>
          </w:p>
        </w:tc>
        <w:tc>
          <w:tcPr>
            <w:tcW w:w="663" w:type="dxa"/>
            <w:shd w:val="clear" w:color="auto" w:fill="auto"/>
            <w:noWrap/>
            <w:vAlign w:val="bottom"/>
            <w:hideMark/>
          </w:tcPr>
          <w:p w14:paraId="659C83C5" w14:textId="77777777" w:rsidR="00BD4D02" w:rsidRPr="00BD4D02" w:rsidRDefault="00BD4D02" w:rsidP="00BD4D02">
            <w:pPr>
              <w:rPr>
                <w:sz w:val="20"/>
                <w:szCs w:val="20"/>
              </w:rPr>
            </w:pPr>
          </w:p>
        </w:tc>
        <w:tc>
          <w:tcPr>
            <w:tcW w:w="1180" w:type="dxa"/>
            <w:shd w:val="clear" w:color="auto" w:fill="auto"/>
            <w:noWrap/>
            <w:vAlign w:val="bottom"/>
            <w:hideMark/>
          </w:tcPr>
          <w:p w14:paraId="4078192C"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4</w:t>
            </w:r>
          </w:p>
        </w:tc>
      </w:tr>
      <w:tr w:rsidR="00BD4D02" w:rsidRPr="00BD4D02" w14:paraId="3255ACCD" w14:textId="77777777" w:rsidTr="00050580">
        <w:trPr>
          <w:trHeight w:val="144"/>
        </w:trPr>
        <w:tc>
          <w:tcPr>
            <w:tcW w:w="4500" w:type="dxa"/>
            <w:shd w:val="clear" w:color="auto" w:fill="auto"/>
            <w:noWrap/>
            <w:vAlign w:val="bottom"/>
            <w:hideMark/>
          </w:tcPr>
          <w:p w14:paraId="4427B9CC"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Connections - number</w:t>
            </w:r>
          </w:p>
        </w:tc>
        <w:tc>
          <w:tcPr>
            <w:tcW w:w="770" w:type="dxa"/>
            <w:shd w:val="clear" w:color="auto" w:fill="auto"/>
            <w:noWrap/>
            <w:vAlign w:val="bottom"/>
            <w:hideMark/>
          </w:tcPr>
          <w:p w14:paraId="430FA9B7"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4AEEACD1" w14:textId="77777777" w:rsidR="00BD4D02" w:rsidRPr="00BD4D02" w:rsidRDefault="00BD4D02" w:rsidP="00BD4D02">
            <w:pPr>
              <w:rPr>
                <w:sz w:val="20"/>
                <w:szCs w:val="20"/>
              </w:rPr>
            </w:pPr>
          </w:p>
        </w:tc>
        <w:tc>
          <w:tcPr>
            <w:tcW w:w="663" w:type="dxa"/>
            <w:shd w:val="clear" w:color="auto" w:fill="auto"/>
            <w:noWrap/>
            <w:vAlign w:val="bottom"/>
            <w:hideMark/>
          </w:tcPr>
          <w:p w14:paraId="4168B7E0"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6962E01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113AE843"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1BECFE07"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6DDA020C" w14:textId="77777777" w:rsidR="00BD4D02" w:rsidRPr="00BD4D02" w:rsidRDefault="00BD4D02" w:rsidP="00BD4D02">
            <w:pPr>
              <w:rPr>
                <w:sz w:val="20"/>
                <w:szCs w:val="20"/>
              </w:rPr>
            </w:pPr>
          </w:p>
        </w:tc>
        <w:tc>
          <w:tcPr>
            <w:tcW w:w="663" w:type="dxa"/>
            <w:shd w:val="clear" w:color="auto" w:fill="auto"/>
            <w:noWrap/>
            <w:vAlign w:val="bottom"/>
            <w:hideMark/>
          </w:tcPr>
          <w:p w14:paraId="5F8D6657" w14:textId="77777777" w:rsidR="00BD4D02" w:rsidRPr="00BD4D02" w:rsidRDefault="00BD4D02" w:rsidP="00BD4D02">
            <w:pPr>
              <w:rPr>
                <w:sz w:val="20"/>
                <w:szCs w:val="20"/>
              </w:rPr>
            </w:pPr>
          </w:p>
        </w:tc>
        <w:tc>
          <w:tcPr>
            <w:tcW w:w="663" w:type="dxa"/>
            <w:shd w:val="clear" w:color="auto" w:fill="auto"/>
            <w:noWrap/>
            <w:vAlign w:val="bottom"/>
            <w:hideMark/>
          </w:tcPr>
          <w:p w14:paraId="4E9C0BAB" w14:textId="77777777" w:rsidR="00BD4D02" w:rsidRPr="00BD4D02" w:rsidRDefault="00BD4D02" w:rsidP="00BD4D02">
            <w:pPr>
              <w:rPr>
                <w:sz w:val="20"/>
                <w:szCs w:val="20"/>
              </w:rPr>
            </w:pPr>
          </w:p>
        </w:tc>
        <w:tc>
          <w:tcPr>
            <w:tcW w:w="663" w:type="dxa"/>
            <w:shd w:val="clear" w:color="auto" w:fill="auto"/>
            <w:noWrap/>
            <w:vAlign w:val="bottom"/>
            <w:hideMark/>
          </w:tcPr>
          <w:p w14:paraId="537886D2" w14:textId="77777777" w:rsidR="00BD4D02" w:rsidRPr="00BD4D02" w:rsidRDefault="00BD4D02" w:rsidP="00BD4D02">
            <w:pPr>
              <w:rPr>
                <w:sz w:val="20"/>
                <w:szCs w:val="20"/>
              </w:rPr>
            </w:pPr>
          </w:p>
        </w:tc>
        <w:tc>
          <w:tcPr>
            <w:tcW w:w="663" w:type="dxa"/>
            <w:shd w:val="clear" w:color="auto" w:fill="auto"/>
            <w:noWrap/>
            <w:vAlign w:val="bottom"/>
            <w:hideMark/>
          </w:tcPr>
          <w:p w14:paraId="51D90F1D" w14:textId="77777777" w:rsidR="00BD4D02" w:rsidRPr="00BD4D02" w:rsidRDefault="00BD4D02" w:rsidP="00BD4D02">
            <w:pPr>
              <w:rPr>
                <w:sz w:val="20"/>
                <w:szCs w:val="20"/>
              </w:rPr>
            </w:pPr>
          </w:p>
        </w:tc>
        <w:tc>
          <w:tcPr>
            <w:tcW w:w="663" w:type="dxa"/>
            <w:shd w:val="clear" w:color="auto" w:fill="auto"/>
            <w:noWrap/>
            <w:vAlign w:val="bottom"/>
            <w:hideMark/>
          </w:tcPr>
          <w:p w14:paraId="0F25A9CC" w14:textId="77777777" w:rsidR="00BD4D02" w:rsidRPr="00BD4D02" w:rsidRDefault="00BD4D02" w:rsidP="00BD4D02">
            <w:pPr>
              <w:rPr>
                <w:sz w:val="20"/>
                <w:szCs w:val="20"/>
              </w:rPr>
            </w:pPr>
          </w:p>
        </w:tc>
        <w:tc>
          <w:tcPr>
            <w:tcW w:w="1180" w:type="dxa"/>
            <w:shd w:val="clear" w:color="auto" w:fill="auto"/>
            <w:noWrap/>
            <w:vAlign w:val="bottom"/>
            <w:hideMark/>
          </w:tcPr>
          <w:p w14:paraId="32EFBDEB"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w:t>
            </w:r>
          </w:p>
        </w:tc>
      </w:tr>
      <w:tr w:rsidR="00BD4D02" w:rsidRPr="00BD4D02" w14:paraId="5D7EF76D" w14:textId="77777777" w:rsidTr="00050580">
        <w:trPr>
          <w:trHeight w:val="144"/>
        </w:trPr>
        <w:tc>
          <w:tcPr>
            <w:tcW w:w="4500" w:type="dxa"/>
            <w:shd w:val="clear" w:color="auto" w:fill="auto"/>
            <w:noWrap/>
            <w:vAlign w:val="bottom"/>
            <w:hideMark/>
          </w:tcPr>
          <w:p w14:paraId="1BD2F271"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Internet - business</w:t>
            </w:r>
          </w:p>
        </w:tc>
        <w:tc>
          <w:tcPr>
            <w:tcW w:w="770" w:type="dxa"/>
            <w:shd w:val="clear" w:color="auto" w:fill="auto"/>
            <w:noWrap/>
            <w:vAlign w:val="bottom"/>
            <w:hideMark/>
          </w:tcPr>
          <w:p w14:paraId="06AB94D9"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7F79FA5B" w14:textId="77777777" w:rsidR="00BD4D02" w:rsidRPr="00BD4D02" w:rsidRDefault="00BD4D02" w:rsidP="00BD4D02">
            <w:pPr>
              <w:rPr>
                <w:sz w:val="20"/>
                <w:szCs w:val="20"/>
              </w:rPr>
            </w:pPr>
          </w:p>
        </w:tc>
        <w:tc>
          <w:tcPr>
            <w:tcW w:w="663" w:type="dxa"/>
            <w:shd w:val="clear" w:color="auto" w:fill="auto"/>
            <w:noWrap/>
            <w:vAlign w:val="bottom"/>
            <w:hideMark/>
          </w:tcPr>
          <w:p w14:paraId="058677BD" w14:textId="77777777" w:rsidR="00BD4D02" w:rsidRPr="00BD4D02" w:rsidRDefault="00BD4D02" w:rsidP="00BD4D02">
            <w:pPr>
              <w:rPr>
                <w:sz w:val="20"/>
                <w:szCs w:val="20"/>
              </w:rPr>
            </w:pPr>
          </w:p>
        </w:tc>
        <w:tc>
          <w:tcPr>
            <w:tcW w:w="663" w:type="dxa"/>
            <w:shd w:val="clear" w:color="auto" w:fill="auto"/>
            <w:noWrap/>
            <w:vAlign w:val="bottom"/>
            <w:hideMark/>
          </w:tcPr>
          <w:p w14:paraId="12AC38BF" w14:textId="77777777" w:rsidR="00BD4D02" w:rsidRPr="00BD4D02" w:rsidRDefault="00BD4D02" w:rsidP="00BD4D02">
            <w:pPr>
              <w:rPr>
                <w:sz w:val="20"/>
                <w:szCs w:val="20"/>
              </w:rPr>
            </w:pPr>
          </w:p>
        </w:tc>
        <w:tc>
          <w:tcPr>
            <w:tcW w:w="663" w:type="dxa"/>
            <w:shd w:val="clear" w:color="auto" w:fill="auto"/>
            <w:noWrap/>
            <w:vAlign w:val="bottom"/>
            <w:hideMark/>
          </w:tcPr>
          <w:p w14:paraId="7409BBDE" w14:textId="77777777" w:rsidR="00BD4D02" w:rsidRPr="00BD4D02" w:rsidRDefault="00BD4D02" w:rsidP="00BD4D02">
            <w:pPr>
              <w:rPr>
                <w:sz w:val="20"/>
                <w:szCs w:val="20"/>
              </w:rPr>
            </w:pPr>
          </w:p>
        </w:tc>
        <w:tc>
          <w:tcPr>
            <w:tcW w:w="663" w:type="dxa"/>
            <w:shd w:val="clear" w:color="auto" w:fill="auto"/>
            <w:noWrap/>
            <w:vAlign w:val="bottom"/>
            <w:hideMark/>
          </w:tcPr>
          <w:p w14:paraId="3479349A" w14:textId="77777777" w:rsidR="00BD4D02" w:rsidRPr="00BD4D02" w:rsidRDefault="00BD4D02" w:rsidP="00BD4D02">
            <w:pPr>
              <w:rPr>
                <w:sz w:val="20"/>
                <w:szCs w:val="20"/>
              </w:rPr>
            </w:pPr>
          </w:p>
        </w:tc>
        <w:tc>
          <w:tcPr>
            <w:tcW w:w="663" w:type="dxa"/>
            <w:shd w:val="clear" w:color="auto" w:fill="auto"/>
            <w:noWrap/>
            <w:vAlign w:val="bottom"/>
            <w:hideMark/>
          </w:tcPr>
          <w:p w14:paraId="28E3C2A7" w14:textId="77777777" w:rsidR="00BD4D02" w:rsidRPr="00BD4D02" w:rsidRDefault="00BD4D02" w:rsidP="00BD4D02">
            <w:pPr>
              <w:rPr>
                <w:sz w:val="20"/>
                <w:szCs w:val="20"/>
              </w:rPr>
            </w:pPr>
          </w:p>
        </w:tc>
        <w:tc>
          <w:tcPr>
            <w:tcW w:w="663" w:type="dxa"/>
            <w:shd w:val="clear" w:color="auto" w:fill="auto"/>
            <w:noWrap/>
            <w:vAlign w:val="bottom"/>
            <w:hideMark/>
          </w:tcPr>
          <w:p w14:paraId="44AF37D1" w14:textId="77777777" w:rsidR="00BD4D02" w:rsidRPr="00BD4D02" w:rsidRDefault="00BD4D02" w:rsidP="00BD4D02">
            <w:pPr>
              <w:rPr>
                <w:sz w:val="20"/>
                <w:szCs w:val="20"/>
              </w:rPr>
            </w:pPr>
          </w:p>
        </w:tc>
        <w:tc>
          <w:tcPr>
            <w:tcW w:w="663" w:type="dxa"/>
            <w:shd w:val="clear" w:color="auto" w:fill="auto"/>
            <w:noWrap/>
            <w:vAlign w:val="bottom"/>
            <w:hideMark/>
          </w:tcPr>
          <w:p w14:paraId="10FD1AC8" w14:textId="77777777" w:rsidR="00BD4D02" w:rsidRPr="00BD4D02" w:rsidRDefault="00BD4D02" w:rsidP="00BD4D02">
            <w:pPr>
              <w:rPr>
                <w:sz w:val="20"/>
                <w:szCs w:val="20"/>
              </w:rPr>
            </w:pPr>
          </w:p>
        </w:tc>
        <w:tc>
          <w:tcPr>
            <w:tcW w:w="663" w:type="dxa"/>
            <w:shd w:val="clear" w:color="auto" w:fill="auto"/>
            <w:noWrap/>
            <w:vAlign w:val="bottom"/>
            <w:hideMark/>
          </w:tcPr>
          <w:p w14:paraId="58F91391" w14:textId="77777777" w:rsidR="00BD4D02" w:rsidRPr="00BD4D02" w:rsidRDefault="00BD4D02" w:rsidP="00BD4D02">
            <w:pPr>
              <w:rPr>
                <w:sz w:val="20"/>
                <w:szCs w:val="20"/>
              </w:rPr>
            </w:pPr>
          </w:p>
        </w:tc>
        <w:tc>
          <w:tcPr>
            <w:tcW w:w="663" w:type="dxa"/>
            <w:shd w:val="clear" w:color="auto" w:fill="auto"/>
            <w:noWrap/>
            <w:vAlign w:val="bottom"/>
            <w:hideMark/>
          </w:tcPr>
          <w:p w14:paraId="66708242" w14:textId="77777777" w:rsidR="00BD4D02" w:rsidRPr="00BD4D02" w:rsidRDefault="00BD4D02" w:rsidP="00BD4D02">
            <w:pPr>
              <w:rPr>
                <w:sz w:val="20"/>
                <w:szCs w:val="20"/>
              </w:rPr>
            </w:pPr>
          </w:p>
        </w:tc>
        <w:tc>
          <w:tcPr>
            <w:tcW w:w="663" w:type="dxa"/>
            <w:shd w:val="clear" w:color="auto" w:fill="auto"/>
            <w:noWrap/>
            <w:vAlign w:val="bottom"/>
            <w:hideMark/>
          </w:tcPr>
          <w:p w14:paraId="0541FCFD"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1180" w:type="dxa"/>
            <w:shd w:val="clear" w:color="auto" w:fill="auto"/>
            <w:noWrap/>
            <w:vAlign w:val="bottom"/>
            <w:hideMark/>
          </w:tcPr>
          <w:p w14:paraId="4F9335AC"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1E83622F" w14:textId="77777777" w:rsidTr="00050580">
        <w:trPr>
          <w:trHeight w:val="144"/>
        </w:trPr>
        <w:tc>
          <w:tcPr>
            <w:tcW w:w="4500" w:type="dxa"/>
            <w:shd w:val="clear" w:color="auto" w:fill="auto"/>
            <w:noWrap/>
            <w:vAlign w:val="bottom"/>
            <w:hideMark/>
          </w:tcPr>
          <w:p w14:paraId="6AE6F8AC"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Internet - residential</w:t>
            </w:r>
          </w:p>
        </w:tc>
        <w:tc>
          <w:tcPr>
            <w:tcW w:w="770" w:type="dxa"/>
            <w:shd w:val="clear" w:color="auto" w:fill="auto"/>
            <w:noWrap/>
            <w:vAlign w:val="bottom"/>
            <w:hideMark/>
          </w:tcPr>
          <w:p w14:paraId="39DEC3CA"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3209E60A" w14:textId="77777777" w:rsidR="00BD4D02" w:rsidRPr="00BD4D02" w:rsidRDefault="00BD4D02" w:rsidP="00BD4D02">
            <w:pPr>
              <w:rPr>
                <w:sz w:val="20"/>
                <w:szCs w:val="20"/>
              </w:rPr>
            </w:pPr>
          </w:p>
        </w:tc>
        <w:tc>
          <w:tcPr>
            <w:tcW w:w="663" w:type="dxa"/>
            <w:shd w:val="clear" w:color="auto" w:fill="auto"/>
            <w:noWrap/>
            <w:vAlign w:val="bottom"/>
            <w:hideMark/>
          </w:tcPr>
          <w:p w14:paraId="40CAD650" w14:textId="77777777" w:rsidR="00BD4D02" w:rsidRPr="00BD4D02" w:rsidRDefault="00BD4D02" w:rsidP="00BD4D02">
            <w:pPr>
              <w:rPr>
                <w:sz w:val="20"/>
                <w:szCs w:val="20"/>
              </w:rPr>
            </w:pPr>
          </w:p>
        </w:tc>
        <w:tc>
          <w:tcPr>
            <w:tcW w:w="663" w:type="dxa"/>
            <w:shd w:val="clear" w:color="auto" w:fill="auto"/>
            <w:noWrap/>
            <w:vAlign w:val="bottom"/>
            <w:hideMark/>
          </w:tcPr>
          <w:p w14:paraId="408C9C3F" w14:textId="77777777" w:rsidR="00BD4D02" w:rsidRPr="00BD4D02" w:rsidRDefault="00BD4D02" w:rsidP="00BD4D02">
            <w:pPr>
              <w:rPr>
                <w:sz w:val="20"/>
                <w:szCs w:val="20"/>
              </w:rPr>
            </w:pPr>
          </w:p>
        </w:tc>
        <w:tc>
          <w:tcPr>
            <w:tcW w:w="663" w:type="dxa"/>
            <w:shd w:val="clear" w:color="auto" w:fill="auto"/>
            <w:noWrap/>
            <w:vAlign w:val="bottom"/>
            <w:hideMark/>
          </w:tcPr>
          <w:p w14:paraId="6D52E6EA" w14:textId="77777777" w:rsidR="00BD4D02" w:rsidRPr="00BD4D02" w:rsidRDefault="00BD4D02" w:rsidP="00BD4D02">
            <w:pPr>
              <w:rPr>
                <w:sz w:val="20"/>
                <w:szCs w:val="20"/>
              </w:rPr>
            </w:pPr>
          </w:p>
        </w:tc>
        <w:tc>
          <w:tcPr>
            <w:tcW w:w="663" w:type="dxa"/>
            <w:shd w:val="clear" w:color="auto" w:fill="auto"/>
            <w:noWrap/>
            <w:vAlign w:val="bottom"/>
            <w:hideMark/>
          </w:tcPr>
          <w:p w14:paraId="20718A88" w14:textId="77777777" w:rsidR="00BD4D02" w:rsidRPr="00BD4D02" w:rsidRDefault="00BD4D02" w:rsidP="00BD4D02">
            <w:pPr>
              <w:rPr>
                <w:sz w:val="20"/>
                <w:szCs w:val="20"/>
              </w:rPr>
            </w:pPr>
          </w:p>
        </w:tc>
        <w:tc>
          <w:tcPr>
            <w:tcW w:w="663" w:type="dxa"/>
            <w:shd w:val="clear" w:color="auto" w:fill="auto"/>
            <w:noWrap/>
            <w:vAlign w:val="bottom"/>
            <w:hideMark/>
          </w:tcPr>
          <w:p w14:paraId="3EDC500F" w14:textId="77777777" w:rsidR="00BD4D02" w:rsidRPr="00BD4D02" w:rsidRDefault="00BD4D02" w:rsidP="00BD4D02">
            <w:pPr>
              <w:rPr>
                <w:sz w:val="20"/>
                <w:szCs w:val="20"/>
              </w:rPr>
            </w:pPr>
          </w:p>
        </w:tc>
        <w:tc>
          <w:tcPr>
            <w:tcW w:w="663" w:type="dxa"/>
            <w:shd w:val="clear" w:color="auto" w:fill="auto"/>
            <w:noWrap/>
            <w:vAlign w:val="bottom"/>
            <w:hideMark/>
          </w:tcPr>
          <w:p w14:paraId="24F82252" w14:textId="77777777" w:rsidR="00BD4D02" w:rsidRPr="00BD4D02" w:rsidRDefault="00BD4D02" w:rsidP="00BD4D02">
            <w:pPr>
              <w:rPr>
                <w:sz w:val="20"/>
                <w:szCs w:val="20"/>
              </w:rPr>
            </w:pPr>
          </w:p>
        </w:tc>
        <w:tc>
          <w:tcPr>
            <w:tcW w:w="663" w:type="dxa"/>
            <w:shd w:val="clear" w:color="auto" w:fill="auto"/>
            <w:noWrap/>
            <w:vAlign w:val="bottom"/>
            <w:hideMark/>
          </w:tcPr>
          <w:p w14:paraId="5E497995" w14:textId="77777777" w:rsidR="00BD4D02" w:rsidRPr="00BD4D02" w:rsidRDefault="00BD4D02" w:rsidP="00BD4D02">
            <w:pPr>
              <w:rPr>
                <w:sz w:val="20"/>
                <w:szCs w:val="20"/>
              </w:rPr>
            </w:pPr>
          </w:p>
        </w:tc>
        <w:tc>
          <w:tcPr>
            <w:tcW w:w="663" w:type="dxa"/>
            <w:shd w:val="clear" w:color="auto" w:fill="auto"/>
            <w:noWrap/>
            <w:vAlign w:val="bottom"/>
            <w:hideMark/>
          </w:tcPr>
          <w:p w14:paraId="43CA2225" w14:textId="77777777" w:rsidR="00BD4D02" w:rsidRPr="00BD4D02" w:rsidRDefault="00BD4D02" w:rsidP="00BD4D02">
            <w:pPr>
              <w:rPr>
                <w:sz w:val="20"/>
                <w:szCs w:val="20"/>
              </w:rPr>
            </w:pPr>
          </w:p>
        </w:tc>
        <w:tc>
          <w:tcPr>
            <w:tcW w:w="663" w:type="dxa"/>
            <w:shd w:val="clear" w:color="auto" w:fill="auto"/>
            <w:noWrap/>
            <w:vAlign w:val="bottom"/>
            <w:hideMark/>
          </w:tcPr>
          <w:p w14:paraId="3C8CB730" w14:textId="77777777" w:rsidR="00BD4D02" w:rsidRPr="00BD4D02" w:rsidRDefault="00BD4D02" w:rsidP="00BD4D02">
            <w:pPr>
              <w:rPr>
                <w:sz w:val="20"/>
                <w:szCs w:val="20"/>
              </w:rPr>
            </w:pPr>
          </w:p>
        </w:tc>
        <w:tc>
          <w:tcPr>
            <w:tcW w:w="663" w:type="dxa"/>
            <w:shd w:val="clear" w:color="auto" w:fill="auto"/>
            <w:noWrap/>
            <w:vAlign w:val="bottom"/>
            <w:hideMark/>
          </w:tcPr>
          <w:p w14:paraId="7D5C8CCB"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1180" w:type="dxa"/>
            <w:shd w:val="clear" w:color="auto" w:fill="auto"/>
            <w:noWrap/>
            <w:vAlign w:val="bottom"/>
            <w:hideMark/>
          </w:tcPr>
          <w:p w14:paraId="62923836"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1368B91D" w14:textId="77777777" w:rsidTr="00050580">
        <w:trPr>
          <w:trHeight w:val="144"/>
        </w:trPr>
        <w:tc>
          <w:tcPr>
            <w:tcW w:w="4500" w:type="dxa"/>
            <w:shd w:val="clear" w:color="auto" w:fill="auto"/>
            <w:noWrap/>
            <w:vAlign w:val="bottom"/>
            <w:hideMark/>
          </w:tcPr>
          <w:p w14:paraId="315A7480"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Internet - retail - fixed</w:t>
            </w:r>
          </w:p>
        </w:tc>
        <w:tc>
          <w:tcPr>
            <w:tcW w:w="770" w:type="dxa"/>
            <w:shd w:val="clear" w:color="auto" w:fill="auto"/>
            <w:noWrap/>
            <w:vAlign w:val="bottom"/>
            <w:hideMark/>
          </w:tcPr>
          <w:p w14:paraId="76341AA7"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47EF75CC" w14:textId="77777777" w:rsidR="00BD4D02" w:rsidRPr="00BD4D02" w:rsidRDefault="00BD4D02" w:rsidP="00BD4D02">
            <w:pPr>
              <w:rPr>
                <w:sz w:val="20"/>
                <w:szCs w:val="20"/>
              </w:rPr>
            </w:pPr>
          </w:p>
        </w:tc>
        <w:tc>
          <w:tcPr>
            <w:tcW w:w="663" w:type="dxa"/>
            <w:shd w:val="clear" w:color="auto" w:fill="auto"/>
            <w:noWrap/>
            <w:vAlign w:val="bottom"/>
            <w:hideMark/>
          </w:tcPr>
          <w:p w14:paraId="4886FA23" w14:textId="77777777" w:rsidR="00BD4D02" w:rsidRPr="00BD4D02" w:rsidRDefault="00BD4D02" w:rsidP="00BD4D02">
            <w:pPr>
              <w:rPr>
                <w:sz w:val="20"/>
                <w:szCs w:val="20"/>
              </w:rPr>
            </w:pPr>
          </w:p>
        </w:tc>
        <w:tc>
          <w:tcPr>
            <w:tcW w:w="663" w:type="dxa"/>
            <w:shd w:val="clear" w:color="auto" w:fill="auto"/>
            <w:noWrap/>
            <w:vAlign w:val="bottom"/>
            <w:hideMark/>
          </w:tcPr>
          <w:p w14:paraId="7D36E12F" w14:textId="77777777" w:rsidR="00BD4D02" w:rsidRPr="00BD4D02" w:rsidRDefault="00BD4D02" w:rsidP="00BD4D02">
            <w:pPr>
              <w:rPr>
                <w:sz w:val="20"/>
                <w:szCs w:val="20"/>
              </w:rPr>
            </w:pPr>
          </w:p>
        </w:tc>
        <w:tc>
          <w:tcPr>
            <w:tcW w:w="663" w:type="dxa"/>
            <w:shd w:val="clear" w:color="auto" w:fill="auto"/>
            <w:noWrap/>
            <w:vAlign w:val="bottom"/>
            <w:hideMark/>
          </w:tcPr>
          <w:p w14:paraId="3D69CB6D" w14:textId="77777777" w:rsidR="00BD4D02" w:rsidRPr="00BD4D02" w:rsidRDefault="00BD4D02" w:rsidP="00BD4D02">
            <w:pPr>
              <w:rPr>
                <w:sz w:val="20"/>
                <w:szCs w:val="20"/>
              </w:rPr>
            </w:pPr>
          </w:p>
        </w:tc>
        <w:tc>
          <w:tcPr>
            <w:tcW w:w="663" w:type="dxa"/>
            <w:shd w:val="clear" w:color="auto" w:fill="auto"/>
            <w:noWrap/>
            <w:vAlign w:val="bottom"/>
            <w:hideMark/>
          </w:tcPr>
          <w:p w14:paraId="1EADD81C" w14:textId="77777777" w:rsidR="00BD4D02" w:rsidRPr="00BD4D02" w:rsidRDefault="00BD4D02" w:rsidP="00BD4D02">
            <w:pPr>
              <w:rPr>
                <w:sz w:val="20"/>
                <w:szCs w:val="20"/>
              </w:rPr>
            </w:pPr>
          </w:p>
        </w:tc>
        <w:tc>
          <w:tcPr>
            <w:tcW w:w="663" w:type="dxa"/>
            <w:shd w:val="clear" w:color="auto" w:fill="auto"/>
            <w:noWrap/>
            <w:vAlign w:val="bottom"/>
            <w:hideMark/>
          </w:tcPr>
          <w:p w14:paraId="0E4876E7" w14:textId="77777777" w:rsidR="00BD4D02" w:rsidRPr="00BD4D02" w:rsidRDefault="00BD4D02" w:rsidP="00BD4D02">
            <w:pPr>
              <w:rPr>
                <w:sz w:val="20"/>
                <w:szCs w:val="20"/>
              </w:rPr>
            </w:pPr>
          </w:p>
        </w:tc>
        <w:tc>
          <w:tcPr>
            <w:tcW w:w="663" w:type="dxa"/>
            <w:shd w:val="clear" w:color="auto" w:fill="auto"/>
            <w:noWrap/>
            <w:vAlign w:val="bottom"/>
            <w:hideMark/>
          </w:tcPr>
          <w:p w14:paraId="0D062F66" w14:textId="77777777" w:rsidR="00BD4D02" w:rsidRPr="00BD4D02" w:rsidRDefault="00BD4D02" w:rsidP="00BD4D02">
            <w:pPr>
              <w:rPr>
                <w:sz w:val="20"/>
                <w:szCs w:val="20"/>
              </w:rPr>
            </w:pPr>
          </w:p>
        </w:tc>
        <w:tc>
          <w:tcPr>
            <w:tcW w:w="663" w:type="dxa"/>
            <w:shd w:val="clear" w:color="auto" w:fill="auto"/>
            <w:noWrap/>
            <w:vAlign w:val="bottom"/>
            <w:hideMark/>
          </w:tcPr>
          <w:p w14:paraId="4155075D" w14:textId="77777777" w:rsidR="00BD4D02" w:rsidRPr="00BD4D02" w:rsidRDefault="00BD4D02" w:rsidP="00BD4D02">
            <w:pPr>
              <w:rPr>
                <w:sz w:val="20"/>
                <w:szCs w:val="20"/>
              </w:rPr>
            </w:pPr>
          </w:p>
        </w:tc>
        <w:tc>
          <w:tcPr>
            <w:tcW w:w="663" w:type="dxa"/>
            <w:shd w:val="clear" w:color="auto" w:fill="auto"/>
            <w:noWrap/>
            <w:vAlign w:val="bottom"/>
            <w:hideMark/>
          </w:tcPr>
          <w:p w14:paraId="7608542C" w14:textId="77777777" w:rsidR="00BD4D02" w:rsidRPr="00BD4D02" w:rsidRDefault="00BD4D02" w:rsidP="00BD4D02">
            <w:pPr>
              <w:rPr>
                <w:sz w:val="20"/>
                <w:szCs w:val="20"/>
              </w:rPr>
            </w:pPr>
          </w:p>
        </w:tc>
        <w:tc>
          <w:tcPr>
            <w:tcW w:w="663" w:type="dxa"/>
            <w:shd w:val="clear" w:color="auto" w:fill="auto"/>
            <w:noWrap/>
            <w:vAlign w:val="bottom"/>
            <w:hideMark/>
          </w:tcPr>
          <w:p w14:paraId="38921093" w14:textId="77777777" w:rsidR="00BD4D02" w:rsidRPr="00BD4D02" w:rsidRDefault="00BD4D02" w:rsidP="00BD4D02">
            <w:pPr>
              <w:rPr>
                <w:sz w:val="20"/>
                <w:szCs w:val="20"/>
              </w:rPr>
            </w:pPr>
          </w:p>
        </w:tc>
        <w:tc>
          <w:tcPr>
            <w:tcW w:w="663" w:type="dxa"/>
            <w:shd w:val="clear" w:color="auto" w:fill="auto"/>
            <w:noWrap/>
            <w:vAlign w:val="bottom"/>
            <w:hideMark/>
          </w:tcPr>
          <w:p w14:paraId="5692A327"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w:t>
            </w:r>
          </w:p>
        </w:tc>
        <w:tc>
          <w:tcPr>
            <w:tcW w:w="1180" w:type="dxa"/>
            <w:shd w:val="clear" w:color="auto" w:fill="auto"/>
            <w:noWrap/>
            <w:vAlign w:val="bottom"/>
            <w:hideMark/>
          </w:tcPr>
          <w:p w14:paraId="528A0182"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w:t>
            </w:r>
          </w:p>
        </w:tc>
      </w:tr>
      <w:tr w:rsidR="00BD4D02" w:rsidRPr="00BD4D02" w14:paraId="34F6BAC0" w14:textId="77777777" w:rsidTr="00050580">
        <w:trPr>
          <w:trHeight w:val="144"/>
        </w:trPr>
        <w:tc>
          <w:tcPr>
            <w:tcW w:w="4500" w:type="dxa"/>
            <w:shd w:val="clear" w:color="auto" w:fill="auto"/>
            <w:noWrap/>
            <w:vAlign w:val="bottom"/>
            <w:hideMark/>
          </w:tcPr>
          <w:p w14:paraId="33923BB1"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Lines - local - access</w:t>
            </w:r>
          </w:p>
        </w:tc>
        <w:tc>
          <w:tcPr>
            <w:tcW w:w="770" w:type="dxa"/>
            <w:shd w:val="clear" w:color="auto" w:fill="auto"/>
            <w:noWrap/>
            <w:vAlign w:val="bottom"/>
            <w:hideMark/>
          </w:tcPr>
          <w:p w14:paraId="0C08CAF3"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485E70FE" w14:textId="77777777" w:rsidR="00BD4D02" w:rsidRPr="00BD4D02" w:rsidRDefault="00BD4D02" w:rsidP="00BD4D02">
            <w:pPr>
              <w:rPr>
                <w:sz w:val="20"/>
                <w:szCs w:val="20"/>
              </w:rPr>
            </w:pPr>
          </w:p>
        </w:tc>
        <w:tc>
          <w:tcPr>
            <w:tcW w:w="663" w:type="dxa"/>
            <w:shd w:val="clear" w:color="auto" w:fill="auto"/>
            <w:noWrap/>
            <w:vAlign w:val="bottom"/>
            <w:hideMark/>
          </w:tcPr>
          <w:p w14:paraId="6A219A43" w14:textId="77777777" w:rsidR="00BD4D02" w:rsidRPr="00BD4D02" w:rsidRDefault="00BD4D02" w:rsidP="00BD4D02">
            <w:pPr>
              <w:rPr>
                <w:sz w:val="20"/>
                <w:szCs w:val="20"/>
              </w:rPr>
            </w:pPr>
          </w:p>
        </w:tc>
        <w:tc>
          <w:tcPr>
            <w:tcW w:w="663" w:type="dxa"/>
            <w:shd w:val="clear" w:color="auto" w:fill="auto"/>
            <w:noWrap/>
            <w:vAlign w:val="bottom"/>
            <w:hideMark/>
          </w:tcPr>
          <w:p w14:paraId="2627DBF3" w14:textId="77777777" w:rsidR="00BD4D02" w:rsidRPr="00BD4D02" w:rsidRDefault="00BD4D02" w:rsidP="00BD4D02">
            <w:pPr>
              <w:rPr>
                <w:sz w:val="20"/>
                <w:szCs w:val="20"/>
              </w:rPr>
            </w:pPr>
          </w:p>
        </w:tc>
        <w:tc>
          <w:tcPr>
            <w:tcW w:w="663" w:type="dxa"/>
            <w:shd w:val="clear" w:color="auto" w:fill="auto"/>
            <w:noWrap/>
            <w:vAlign w:val="bottom"/>
            <w:hideMark/>
          </w:tcPr>
          <w:p w14:paraId="622DCA6C" w14:textId="77777777" w:rsidR="00BD4D02" w:rsidRPr="00BD4D02" w:rsidRDefault="00BD4D02" w:rsidP="00BD4D02">
            <w:pPr>
              <w:rPr>
                <w:sz w:val="20"/>
                <w:szCs w:val="20"/>
              </w:rPr>
            </w:pPr>
          </w:p>
        </w:tc>
        <w:tc>
          <w:tcPr>
            <w:tcW w:w="663" w:type="dxa"/>
            <w:shd w:val="clear" w:color="auto" w:fill="auto"/>
            <w:noWrap/>
            <w:vAlign w:val="bottom"/>
            <w:hideMark/>
          </w:tcPr>
          <w:p w14:paraId="11BB8693"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62267A1C"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792773A9" w14:textId="77777777" w:rsidR="00BD4D02" w:rsidRPr="00BD4D02" w:rsidRDefault="00BD4D02" w:rsidP="00BD4D02">
            <w:pPr>
              <w:rPr>
                <w:sz w:val="20"/>
                <w:szCs w:val="20"/>
              </w:rPr>
            </w:pPr>
          </w:p>
        </w:tc>
        <w:tc>
          <w:tcPr>
            <w:tcW w:w="663" w:type="dxa"/>
            <w:shd w:val="clear" w:color="auto" w:fill="auto"/>
            <w:noWrap/>
            <w:vAlign w:val="bottom"/>
            <w:hideMark/>
          </w:tcPr>
          <w:p w14:paraId="798D2562" w14:textId="77777777" w:rsidR="00BD4D02" w:rsidRPr="00BD4D02" w:rsidRDefault="00BD4D02" w:rsidP="00BD4D02">
            <w:pPr>
              <w:rPr>
                <w:sz w:val="20"/>
                <w:szCs w:val="20"/>
              </w:rPr>
            </w:pPr>
          </w:p>
        </w:tc>
        <w:tc>
          <w:tcPr>
            <w:tcW w:w="663" w:type="dxa"/>
            <w:shd w:val="clear" w:color="auto" w:fill="auto"/>
            <w:noWrap/>
            <w:vAlign w:val="bottom"/>
            <w:hideMark/>
          </w:tcPr>
          <w:p w14:paraId="36E01EB5" w14:textId="77777777" w:rsidR="00BD4D02" w:rsidRPr="00BD4D02" w:rsidRDefault="00BD4D02" w:rsidP="00BD4D02">
            <w:pPr>
              <w:rPr>
                <w:sz w:val="20"/>
                <w:szCs w:val="20"/>
              </w:rPr>
            </w:pPr>
          </w:p>
        </w:tc>
        <w:tc>
          <w:tcPr>
            <w:tcW w:w="663" w:type="dxa"/>
            <w:shd w:val="clear" w:color="auto" w:fill="auto"/>
            <w:noWrap/>
            <w:vAlign w:val="bottom"/>
            <w:hideMark/>
          </w:tcPr>
          <w:p w14:paraId="4F06D434" w14:textId="77777777" w:rsidR="00BD4D02" w:rsidRPr="00BD4D02" w:rsidRDefault="00BD4D02" w:rsidP="00BD4D02">
            <w:pPr>
              <w:rPr>
                <w:sz w:val="20"/>
                <w:szCs w:val="20"/>
              </w:rPr>
            </w:pPr>
          </w:p>
        </w:tc>
        <w:tc>
          <w:tcPr>
            <w:tcW w:w="663" w:type="dxa"/>
            <w:shd w:val="clear" w:color="auto" w:fill="auto"/>
            <w:noWrap/>
            <w:vAlign w:val="bottom"/>
            <w:hideMark/>
          </w:tcPr>
          <w:p w14:paraId="5407AF8C" w14:textId="77777777" w:rsidR="00BD4D02" w:rsidRPr="00BD4D02" w:rsidRDefault="00BD4D02" w:rsidP="00BD4D02">
            <w:pPr>
              <w:rPr>
                <w:sz w:val="20"/>
                <w:szCs w:val="20"/>
              </w:rPr>
            </w:pPr>
          </w:p>
        </w:tc>
        <w:tc>
          <w:tcPr>
            <w:tcW w:w="1180" w:type="dxa"/>
            <w:shd w:val="clear" w:color="auto" w:fill="auto"/>
            <w:noWrap/>
            <w:vAlign w:val="bottom"/>
            <w:hideMark/>
          </w:tcPr>
          <w:p w14:paraId="45E673D6"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6C3A6320" w14:textId="77777777" w:rsidTr="00050580">
        <w:trPr>
          <w:trHeight w:val="144"/>
        </w:trPr>
        <w:tc>
          <w:tcPr>
            <w:tcW w:w="4500" w:type="dxa"/>
            <w:shd w:val="clear" w:color="auto" w:fill="auto"/>
            <w:noWrap/>
            <w:vAlign w:val="bottom"/>
            <w:hideMark/>
          </w:tcPr>
          <w:p w14:paraId="786721B3"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Local lines - retail</w:t>
            </w:r>
          </w:p>
        </w:tc>
        <w:tc>
          <w:tcPr>
            <w:tcW w:w="770" w:type="dxa"/>
            <w:shd w:val="clear" w:color="auto" w:fill="auto"/>
            <w:noWrap/>
            <w:vAlign w:val="bottom"/>
            <w:hideMark/>
          </w:tcPr>
          <w:p w14:paraId="2784DAF2"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2ED046C3" w14:textId="77777777" w:rsidR="00BD4D02" w:rsidRPr="00BD4D02" w:rsidRDefault="00BD4D02" w:rsidP="00BD4D02">
            <w:pPr>
              <w:rPr>
                <w:sz w:val="20"/>
                <w:szCs w:val="20"/>
              </w:rPr>
            </w:pPr>
          </w:p>
        </w:tc>
        <w:tc>
          <w:tcPr>
            <w:tcW w:w="663" w:type="dxa"/>
            <w:shd w:val="clear" w:color="auto" w:fill="auto"/>
            <w:noWrap/>
            <w:vAlign w:val="bottom"/>
            <w:hideMark/>
          </w:tcPr>
          <w:p w14:paraId="0737804F" w14:textId="77777777" w:rsidR="00BD4D02" w:rsidRPr="00BD4D02" w:rsidRDefault="00BD4D02" w:rsidP="00BD4D02">
            <w:pPr>
              <w:rPr>
                <w:sz w:val="20"/>
                <w:szCs w:val="20"/>
              </w:rPr>
            </w:pPr>
          </w:p>
        </w:tc>
        <w:tc>
          <w:tcPr>
            <w:tcW w:w="663" w:type="dxa"/>
            <w:shd w:val="clear" w:color="auto" w:fill="auto"/>
            <w:noWrap/>
            <w:vAlign w:val="bottom"/>
            <w:hideMark/>
          </w:tcPr>
          <w:p w14:paraId="77420587" w14:textId="77777777" w:rsidR="00BD4D02" w:rsidRPr="00BD4D02" w:rsidRDefault="00BD4D02" w:rsidP="00BD4D02">
            <w:pPr>
              <w:rPr>
                <w:sz w:val="20"/>
                <w:szCs w:val="20"/>
              </w:rPr>
            </w:pPr>
          </w:p>
        </w:tc>
        <w:tc>
          <w:tcPr>
            <w:tcW w:w="663" w:type="dxa"/>
            <w:shd w:val="clear" w:color="auto" w:fill="auto"/>
            <w:noWrap/>
            <w:vAlign w:val="bottom"/>
            <w:hideMark/>
          </w:tcPr>
          <w:p w14:paraId="3ADAFA0A" w14:textId="77777777" w:rsidR="00BD4D02" w:rsidRPr="00BD4D02" w:rsidRDefault="00BD4D02" w:rsidP="00BD4D02">
            <w:pPr>
              <w:rPr>
                <w:sz w:val="20"/>
                <w:szCs w:val="20"/>
              </w:rPr>
            </w:pPr>
          </w:p>
        </w:tc>
        <w:tc>
          <w:tcPr>
            <w:tcW w:w="663" w:type="dxa"/>
            <w:shd w:val="clear" w:color="auto" w:fill="auto"/>
            <w:noWrap/>
            <w:vAlign w:val="bottom"/>
            <w:hideMark/>
          </w:tcPr>
          <w:p w14:paraId="7DB71DFB" w14:textId="77777777" w:rsidR="00BD4D02" w:rsidRPr="00BD4D02" w:rsidRDefault="00BD4D02" w:rsidP="00BD4D02">
            <w:pPr>
              <w:rPr>
                <w:sz w:val="20"/>
                <w:szCs w:val="20"/>
              </w:rPr>
            </w:pPr>
          </w:p>
        </w:tc>
        <w:tc>
          <w:tcPr>
            <w:tcW w:w="663" w:type="dxa"/>
            <w:shd w:val="clear" w:color="auto" w:fill="auto"/>
            <w:noWrap/>
            <w:vAlign w:val="bottom"/>
            <w:hideMark/>
          </w:tcPr>
          <w:p w14:paraId="750629E8"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08828FB6"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13CFF849"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2C74C0B8"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16120F2A"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4DDC7A33" w14:textId="77777777" w:rsidR="00BD4D02" w:rsidRPr="00BD4D02" w:rsidRDefault="00BD4D02" w:rsidP="00BD4D02">
            <w:pPr>
              <w:rPr>
                <w:sz w:val="20"/>
                <w:szCs w:val="20"/>
              </w:rPr>
            </w:pPr>
          </w:p>
        </w:tc>
        <w:tc>
          <w:tcPr>
            <w:tcW w:w="1180" w:type="dxa"/>
            <w:shd w:val="clear" w:color="auto" w:fill="auto"/>
            <w:noWrap/>
            <w:vAlign w:val="bottom"/>
            <w:hideMark/>
          </w:tcPr>
          <w:p w14:paraId="1E48DC5B"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4</w:t>
            </w:r>
          </w:p>
        </w:tc>
      </w:tr>
      <w:tr w:rsidR="00BD4D02" w:rsidRPr="00BD4D02" w14:paraId="4E5F1629" w14:textId="77777777" w:rsidTr="00050580">
        <w:trPr>
          <w:trHeight w:val="144"/>
        </w:trPr>
        <w:tc>
          <w:tcPr>
            <w:tcW w:w="4500" w:type="dxa"/>
            <w:shd w:val="clear" w:color="auto" w:fill="auto"/>
            <w:noWrap/>
            <w:vAlign w:val="bottom"/>
            <w:hideMark/>
          </w:tcPr>
          <w:p w14:paraId="16F9BB30"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Market share</w:t>
            </w:r>
          </w:p>
        </w:tc>
        <w:tc>
          <w:tcPr>
            <w:tcW w:w="770" w:type="dxa"/>
            <w:shd w:val="clear" w:color="auto" w:fill="auto"/>
            <w:noWrap/>
            <w:vAlign w:val="bottom"/>
            <w:hideMark/>
          </w:tcPr>
          <w:p w14:paraId="058EDDF5"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4</w:t>
            </w:r>
          </w:p>
        </w:tc>
        <w:tc>
          <w:tcPr>
            <w:tcW w:w="663" w:type="dxa"/>
            <w:shd w:val="clear" w:color="auto" w:fill="auto"/>
            <w:noWrap/>
            <w:vAlign w:val="bottom"/>
            <w:hideMark/>
          </w:tcPr>
          <w:p w14:paraId="54E5B859"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w:t>
            </w:r>
          </w:p>
        </w:tc>
        <w:tc>
          <w:tcPr>
            <w:tcW w:w="663" w:type="dxa"/>
            <w:shd w:val="clear" w:color="auto" w:fill="auto"/>
            <w:noWrap/>
            <w:vAlign w:val="bottom"/>
            <w:hideMark/>
          </w:tcPr>
          <w:p w14:paraId="0BDE1EF4"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5</w:t>
            </w:r>
          </w:p>
        </w:tc>
        <w:tc>
          <w:tcPr>
            <w:tcW w:w="663" w:type="dxa"/>
            <w:shd w:val="clear" w:color="auto" w:fill="auto"/>
            <w:noWrap/>
            <w:vAlign w:val="bottom"/>
            <w:hideMark/>
          </w:tcPr>
          <w:p w14:paraId="63562A57"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4</w:t>
            </w:r>
          </w:p>
        </w:tc>
        <w:tc>
          <w:tcPr>
            <w:tcW w:w="663" w:type="dxa"/>
            <w:shd w:val="clear" w:color="auto" w:fill="auto"/>
            <w:noWrap/>
            <w:vAlign w:val="bottom"/>
            <w:hideMark/>
          </w:tcPr>
          <w:p w14:paraId="7BA3322E"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4</w:t>
            </w:r>
          </w:p>
        </w:tc>
        <w:tc>
          <w:tcPr>
            <w:tcW w:w="663" w:type="dxa"/>
            <w:shd w:val="clear" w:color="auto" w:fill="auto"/>
            <w:noWrap/>
            <w:vAlign w:val="bottom"/>
            <w:hideMark/>
          </w:tcPr>
          <w:p w14:paraId="3EC9021A"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5</w:t>
            </w:r>
          </w:p>
        </w:tc>
        <w:tc>
          <w:tcPr>
            <w:tcW w:w="663" w:type="dxa"/>
            <w:shd w:val="clear" w:color="auto" w:fill="auto"/>
            <w:noWrap/>
            <w:vAlign w:val="bottom"/>
            <w:hideMark/>
          </w:tcPr>
          <w:p w14:paraId="40626ECB"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4</w:t>
            </w:r>
          </w:p>
        </w:tc>
        <w:tc>
          <w:tcPr>
            <w:tcW w:w="663" w:type="dxa"/>
            <w:shd w:val="clear" w:color="auto" w:fill="auto"/>
            <w:noWrap/>
            <w:vAlign w:val="bottom"/>
            <w:hideMark/>
          </w:tcPr>
          <w:p w14:paraId="1B41494D"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w:t>
            </w:r>
          </w:p>
        </w:tc>
        <w:tc>
          <w:tcPr>
            <w:tcW w:w="663" w:type="dxa"/>
            <w:shd w:val="clear" w:color="auto" w:fill="auto"/>
            <w:noWrap/>
            <w:vAlign w:val="bottom"/>
            <w:hideMark/>
          </w:tcPr>
          <w:p w14:paraId="32A5C380"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w:t>
            </w:r>
          </w:p>
        </w:tc>
        <w:tc>
          <w:tcPr>
            <w:tcW w:w="663" w:type="dxa"/>
            <w:shd w:val="clear" w:color="auto" w:fill="auto"/>
            <w:noWrap/>
            <w:vAlign w:val="bottom"/>
            <w:hideMark/>
          </w:tcPr>
          <w:p w14:paraId="1C49C5A4"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w:t>
            </w:r>
          </w:p>
        </w:tc>
        <w:tc>
          <w:tcPr>
            <w:tcW w:w="663" w:type="dxa"/>
            <w:shd w:val="clear" w:color="auto" w:fill="auto"/>
            <w:noWrap/>
            <w:vAlign w:val="bottom"/>
            <w:hideMark/>
          </w:tcPr>
          <w:p w14:paraId="552FEAA3"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2A4942B0"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w:t>
            </w:r>
          </w:p>
        </w:tc>
        <w:tc>
          <w:tcPr>
            <w:tcW w:w="1180" w:type="dxa"/>
            <w:shd w:val="clear" w:color="auto" w:fill="auto"/>
            <w:noWrap/>
            <w:vAlign w:val="bottom"/>
            <w:hideMark/>
          </w:tcPr>
          <w:p w14:paraId="57901AC0"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43</w:t>
            </w:r>
          </w:p>
        </w:tc>
      </w:tr>
      <w:tr w:rsidR="00BD4D02" w:rsidRPr="00BD4D02" w14:paraId="2DD6B7C8" w14:textId="77777777" w:rsidTr="00050580">
        <w:trPr>
          <w:trHeight w:val="144"/>
        </w:trPr>
        <w:tc>
          <w:tcPr>
            <w:tcW w:w="4500" w:type="dxa"/>
            <w:shd w:val="clear" w:color="auto" w:fill="auto"/>
            <w:noWrap/>
            <w:vAlign w:val="bottom"/>
            <w:hideMark/>
          </w:tcPr>
          <w:p w14:paraId="30E1F7A4"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Mobile - retail</w:t>
            </w:r>
          </w:p>
        </w:tc>
        <w:tc>
          <w:tcPr>
            <w:tcW w:w="770" w:type="dxa"/>
            <w:shd w:val="clear" w:color="auto" w:fill="auto"/>
            <w:noWrap/>
            <w:vAlign w:val="bottom"/>
            <w:hideMark/>
          </w:tcPr>
          <w:p w14:paraId="67E612C3"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006AA7EC" w14:textId="77777777" w:rsidR="00BD4D02" w:rsidRPr="00BD4D02" w:rsidRDefault="00BD4D02" w:rsidP="00BD4D02">
            <w:pPr>
              <w:rPr>
                <w:sz w:val="20"/>
                <w:szCs w:val="20"/>
              </w:rPr>
            </w:pPr>
          </w:p>
        </w:tc>
        <w:tc>
          <w:tcPr>
            <w:tcW w:w="663" w:type="dxa"/>
            <w:shd w:val="clear" w:color="auto" w:fill="auto"/>
            <w:noWrap/>
            <w:vAlign w:val="bottom"/>
            <w:hideMark/>
          </w:tcPr>
          <w:p w14:paraId="16B8BD7D" w14:textId="77777777" w:rsidR="00BD4D02" w:rsidRPr="00BD4D02" w:rsidRDefault="00BD4D02" w:rsidP="00BD4D02">
            <w:pPr>
              <w:rPr>
                <w:sz w:val="20"/>
                <w:szCs w:val="20"/>
              </w:rPr>
            </w:pPr>
          </w:p>
        </w:tc>
        <w:tc>
          <w:tcPr>
            <w:tcW w:w="663" w:type="dxa"/>
            <w:shd w:val="clear" w:color="auto" w:fill="auto"/>
            <w:noWrap/>
            <w:vAlign w:val="bottom"/>
            <w:hideMark/>
          </w:tcPr>
          <w:p w14:paraId="484A1317" w14:textId="77777777" w:rsidR="00BD4D02" w:rsidRPr="00BD4D02" w:rsidRDefault="00BD4D02" w:rsidP="00BD4D02">
            <w:pPr>
              <w:rPr>
                <w:sz w:val="20"/>
                <w:szCs w:val="20"/>
              </w:rPr>
            </w:pPr>
          </w:p>
        </w:tc>
        <w:tc>
          <w:tcPr>
            <w:tcW w:w="663" w:type="dxa"/>
            <w:shd w:val="clear" w:color="auto" w:fill="auto"/>
            <w:noWrap/>
            <w:vAlign w:val="bottom"/>
            <w:hideMark/>
          </w:tcPr>
          <w:p w14:paraId="5CCB44EA" w14:textId="77777777" w:rsidR="00BD4D02" w:rsidRPr="00BD4D02" w:rsidRDefault="00BD4D02" w:rsidP="00BD4D02">
            <w:pPr>
              <w:rPr>
                <w:sz w:val="20"/>
                <w:szCs w:val="20"/>
              </w:rPr>
            </w:pPr>
          </w:p>
        </w:tc>
        <w:tc>
          <w:tcPr>
            <w:tcW w:w="663" w:type="dxa"/>
            <w:shd w:val="clear" w:color="auto" w:fill="auto"/>
            <w:noWrap/>
            <w:vAlign w:val="bottom"/>
            <w:hideMark/>
          </w:tcPr>
          <w:p w14:paraId="7D1FA836" w14:textId="77777777" w:rsidR="00BD4D02" w:rsidRPr="00BD4D02" w:rsidRDefault="00BD4D02" w:rsidP="00BD4D02">
            <w:pPr>
              <w:rPr>
                <w:sz w:val="20"/>
                <w:szCs w:val="20"/>
              </w:rPr>
            </w:pPr>
          </w:p>
        </w:tc>
        <w:tc>
          <w:tcPr>
            <w:tcW w:w="663" w:type="dxa"/>
            <w:shd w:val="clear" w:color="auto" w:fill="auto"/>
            <w:noWrap/>
            <w:vAlign w:val="bottom"/>
            <w:hideMark/>
          </w:tcPr>
          <w:p w14:paraId="42850C57" w14:textId="77777777" w:rsidR="00BD4D02" w:rsidRPr="00BD4D02" w:rsidRDefault="00BD4D02" w:rsidP="00BD4D02">
            <w:pPr>
              <w:rPr>
                <w:sz w:val="20"/>
                <w:szCs w:val="20"/>
              </w:rPr>
            </w:pPr>
          </w:p>
        </w:tc>
        <w:tc>
          <w:tcPr>
            <w:tcW w:w="663" w:type="dxa"/>
            <w:shd w:val="clear" w:color="auto" w:fill="auto"/>
            <w:noWrap/>
            <w:vAlign w:val="bottom"/>
            <w:hideMark/>
          </w:tcPr>
          <w:p w14:paraId="05372EAA" w14:textId="77777777" w:rsidR="00BD4D02" w:rsidRPr="00BD4D02" w:rsidRDefault="00BD4D02" w:rsidP="00BD4D02">
            <w:pPr>
              <w:rPr>
                <w:sz w:val="20"/>
                <w:szCs w:val="20"/>
              </w:rPr>
            </w:pPr>
          </w:p>
        </w:tc>
        <w:tc>
          <w:tcPr>
            <w:tcW w:w="663" w:type="dxa"/>
            <w:shd w:val="clear" w:color="auto" w:fill="auto"/>
            <w:noWrap/>
            <w:vAlign w:val="bottom"/>
            <w:hideMark/>
          </w:tcPr>
          <w:p w14:paraId="3105E70E" w14:textId="77777777" w:rsidR="00BD4D02" w:rsidRPr="00BD4D02" w:rsidRDefault="00BD4D02" w:rsidP="00BD4D02">
            <w:pPr>
              <w:rPr>
                <w:sz w:val="20"/>
                <w:szCs w:val="20"/>
              </w:rPr>
            </w:pPr>
          </w:p>
        </w:tc>
        <w:tc>
          <w:tcPr>
            <w:tcW w:w="663" w:type="dxa"/>
            <w:shd w:val="clear" w:color="auto" w:fill="auto"/>
            <w:noWrap/>
            <w:vAlign w:val="bottom"/>
            <w:hideMark/>
          </w:tcPr>
          <w:p w14:paraId="4A7DDFDF" w14:textId="77777777" w:rsidR="00BD4D02" w:rsidRPr="00BD4D02" w:rsidRDefault="00BD4D02" w:rsidP="00BD4D02">
            <w:pPr>
              <w:rPr>
                <w:sz w:val="20"/>
                <w:szCs w:val="20"/>
              </w:rPr>
            </w:pPr>
          </w:p>
        </w:tc>
        <w:tc>
          <w:tcPr>
            <w:tcW w:w="663" w:type="dxa"/>
            <w:shd w:val="clear" w:color="auto" w:fill="auto"/>
            <w:noWrap/>
            <w:vAlign w:val="bottom"/>
            <w:hideMark/>
          </w:tcPr>
          <w:p w14:paraId="5A025B68" w14:textId="77777777" w:rsidR="00BD4D02" w:rsidRPr="00BD4D02" w:rsidRDefault="00BD4D02" w:rsidP="00BD4D02">
            <w:pPr>
              <w:rPr>
                <w:sz w:val="20"/>
                <w:szCs w:val="20"/>
              </w:rPr>
            </w:pPr>
          </w:p>
        </w:tc>
        <w:tc>
          <w:tcPr>
            <w:tcW w:w="663" w:type="dxa"/>
            <w:shd w:val="clear" w:color="auto" w:fill="auto"/>
            <w:noWrap/>
            <w:vAlign w:val="bottom"/>
            <w:hideMark/>
          </w:tcPr>
          <w:p w14:paraId="2779861D"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1180" w:type="dxa"/>
            <w:shd w:val="clear" w:color="auto" w:fill="auto"/>
            <w:noWrap/>
            <w:vAlign w:val="bottom"/>
            <w:hideMark/>
          </w:tcPr>
          <w:p w14:paraId="7C1ADE7F"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48758339" w14:textId="77777777" w:rsidTr="00050580">
        <w:trPr>
          <w:trHeight w:val="144"/>
        </w:trPr>
        <w:tc>
          <w:tcPr>
            <w:tcW w:w="4500" w:type="dxa"/>
            <w:shd w:val="clear" w:color="auto" w:fill="auto"/>
            <w:noWrap/>
            <w:vAlign w:val="bottom"/>
            <w:hideMark/>
          </w:tcPr>
          <w:p w14:paraId="2155410F"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Mobile wireless</w:t>
            </w:r>
          </w:p>
        </w:tc>
        <w:tc>
          <w:tcPr>
            <w:tcW w:w="770" w:type="dxa"/>
            <w:shd w:val="clear" w:color="auto" w:fill="auto"/>
            <w:noWrap/>
            <w:vAlign w:val="bottom"/>
            <w:hideMark/>
          </w:tcPr>
          <w:p w14:paraId="5EADA846"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471D7EBD"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5193F56C" w14:textId="77777777" w:rsidR="00BD4D02" w:rsidRPr="00BD4D02" w:rsidRDefault="00BD4D02" w:rsidP="00BD4D02">
            <w:pPr>
              <w:rPr>
                <w:sz w:val="20"/>
                <w:szCs w:val="20"/>
              </w:rPr>
            </w:pPr>
          </w:p>
        </w:tc>
        <w:tc>
          <w:tcPr>
            <w:tcW w:w="663" w:type="dxa"/>
            <w:shd w:val="clear" w:color="auto" w:fill="auto"/>
            <w:noWrap/>
            <w:vAlign w:val="bottom"/>
            <w:hideMark/>
          </w:tcPr>
          <w:p w14:paraId="343B0521" w14:textId="77777777" w:rsidR="00BD4D02" w:rsidRPr="00BD4D02" w:rsidRDefault="00BD4D02" w:rsidP="00BD4D02">
            <w:pPr>
              <w:rPr>
                <w:sz w:val="20"/>
                <w:szCs w:val="20"/>
              </w:rPr>
            </w:pPr>
          </w:p>
        </w:tc>
        <w:tc>
          <w:tcPr>
            <w:tcW w:w="663" w:type="dxa"/>
            <w:shd w:val="clear" w:color="auto" w:fill="auto"/>
            <w:noWrap/>
            <w:vAlign w:val="bottom"/>
            <w:hideMark/>
          </w:tcPr>
          <w:p w14:paraId="5740951C" w14:textId="77777777" w:rsidR="00BD4D02" w:rsidRPr="00BD4D02" w:rsidRDefault="00BD4D02" w:rsidP="00BD4D02">
            <w:pPr>
              <w:rPr>
                <w:sz w:val="20"/>
                <w:szCs w:val="20"/>
              </w:rPr>
            </w:pPr>
          </w:p>
        </w:tc>
        <w:tc>
          <w:tcPr>
            <w:tcW w:w="663" w:type="dxa"/>
            <w:shd w:val="clear" w:color="auto" w:fill="auto"/>
            <w:noWrap/>
            <w:vAlign w:val="bottom"/>
            <w:hideMark/>
          </w:tcPr>
          <w:p w14:paraId="63A53002" w14:textId="77777777" w:rsidR="00BD4D02" w:rsidRPr="00BD4D02" w:rsidRDefault="00BD4D02" w:rsidP="00BD4D02">
            <w:pPr>
              <w:rPr>
                <w:sz w:val="20"/>
                <w:szCs w:val="20"/>
              </w:rPr>
            </w:pPr>
          </w:p>
        </w:tc>
        <w:tc>
          <w:tcPr>
            <w:tcW w:w="663" w:type="dxa"/>
            <w:shd w:val="clear" w:color="auto" w:fill="auto"/>
            <w:noWrap/>
            <w:vAlign w:val="bottom"/>
            <w:hideMark/>
          </w:tcPr>
          <w:p w14:paraId="532F9896" w14:textId="77777777" w:rsidR="00BD4D02" w:rsidRPr="00BD4D02" w:rsidRDefault="00BD4D02" w:rsidP="00BD4D02">
            <w:pPr>
              <w:rPr>
                <w:sz w:val="20"/>
                <w:szCs w:val="20"/>
              </w:rPr>
            </w:pPr>
          </w:p>
        </w:tc>
        <w:tc>
          <w:tcPr>
            <w:tcW w:w="663" w:type="dxa"/>
            <w:shd w:val="clear" w:color="auto" w:fill="auto"/>
            <w:noWrap/>
            <w:vAlign w:val="bottom"/>
            <w:hideMark/>
          </w:tcPr>
          <w:p w14:paraId="63FDA6DB" w14:textId="77777777" w:rsidR="00BD4D02" w:rsidRPr="00BD4D02" w:rsidRDefault="00BD4D02" w:rsidP="00BD4D02">
            <w:pPr>
              <w:rPr>
                <w:sz w:val="20"/>
                <w:szCs w:val="20"/>
              </w:rPr>
            </w:pPr>
          </w:p>
        </w:tc>
        <w:tc>
          <w:tcPr>
            <w:tcW w:w="663" w:type="dxa"/>
            <w:shd w:val="clear" w:color="auto" w:fill="auto"/>
            <w:noWrap/>
            <w:vAlign w:val="bottom"/>
            <w:hideMark/>
          </w:tcPr>
          <w:p w14:paraId="14F6FCC6" w14:textId="77777777" w:rsidR="00BD4D02" w:rsidRPr="00BD4D02" w:rsidRDefault="00BD4D02" w:rsidP="00BD4D02">
            <w:pPr>
              <w:rPr>
                <w:sz w:val="20"/>
                <w:szCs w:val="20"/>
              </w:rPr>
            </w:pPr>
          </w:p>
        </w:tc>
        <w:tc>
          <w:tcPr>
            <w:tcW w:w="663" w:type="dxa"/>
            <w:shd w:val="clear" w:color="auto" w:fill="auto"/>
            <w:noWrap/>
            <w:vAlign w:val="bottom"/>
            <w:hideMark/>
          </w:tcPr>
          <w:p w14:paraId="624BE9E8" w14:textId="77777777" w:rsidR="00BD4D02" w:rsidRPr="00BD4D02" w:rsidRDefault="00BD4D02" w:rsidP="00BD4D02">
            <w:pPr>
              <w:rPr>
                <w:sz w:val="20"/>
                <w:szCs w:val="20"/>
              </w:rPr>
            </w:pPr>
          </w:p>
        </w:tc>
        <w:tc>
          <w:tcPr>
            <w:tcW w:w="663" w:type="dxa"/>
            <w:shd w:val="clear" w:color="auto" w:fill="auto"/>
            <w:noWrap/>
            <w:vAlign w:val="bottom"/>
            <w:hideMark/>
          </w:tcPr>
          <w:p w14:paraId="1559490B" w14:textId="77777777" w:rsidR="00BD4D02" w:rsidRPr="00BD4D02" w:rsidRDefault="00BD4D02" w:rsidP="00BD4D02">
            <w:pPr>
              <w:rPr>
                <w:sz w:val="20"/>
                <w:szCs w:val="20"/>
              </w:rPr>
            </w:pPr>
          </w:p>
        </w:tc>
        <w:tc>
          <w:tcPr>
            <w:tcW w:w="663" w:type="dxa"/>
            <w:shd w:val="clear" w:color="auto" w:fill="auto"/>
            <w:noWrap/>
            <w:vAlign w:val="bottom"/>
            <w:hideMark/>
          </w:tcPr>
          <w:p w14:paraId="1D53E3B8" w14:textId="77777777" w:rsidR="00BD4D02" w:rsidRPr="00BD4D02" w:rsidRDefault="00BD4D02" w:rsidP="00BD4D02">
            <w:pPr>
              <w:rPr>
                <w:sz w:val="20"/>
                <w:szCs w:val="20"/>
              </w:rPr>
            </w:pPr>
          </w:p>
        </w:tc>
        <w:tc>
          <w:tcPr>
            <w:tcW w:w="1180" w:type="dxa"/>
            <w:shd w:val="clear" w:color="auto" w:fill="auto"/>
            <w:noWrap/>
            <w:vAlign w:val="bottom"/>
            <w:hideMark/>
          </w:tcPr>
          <w:p w14:paraId="3653D094"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618E51F5" w14:textId="77777777" w:rsidTr="00050580">
        <w:trPr>
          <w:trHeight w:val="144"/>
        </w:trPr>
        <w:tc>
          <w:tcPr>
            <w:tcW w:w="4500" w:type="dxa"/>
            <w:shd w:val="clear" w:color="auto" w:fill="auto"/>
            <w:noWrap/>
            <w:vAlign w:val="bottom"/>
            <w:hideMark/>
          </w:tcPr>
          <w:p w14:paraId="5F380A28"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Networks - wireless</w:t>
            </w:r>
          </w:p>
        </w:tc>
        <w:tc>
          <w:tcPr>
            <w:tcW w:w="770" w:type="dxa"/>
            <w:shd w:val="clear" w:color="auto" w:fill="auto"/>
            <w:noWrap/>
            <w:vAlign w:val="bottom"/>
            <w:hideMark/>
          </w:tcPr>
          <w:p w14:paraId="03EA8251"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56961279" w14:textId="77777777" w:rsidR="00BD4D02" w:rsidRPr="00BD4D02" w:rsidRDefault="00BD4D02" w:rsidP="00BD4D02">
            <w:pPr>
              <w:rPr>
                <w:sz w:val="20"/>
                <w:szCs w:val="20"/>
              </w:rPr>
            </w:pPr>
          </w:p>
        </w:tc>
        <w:tc>
          <w:tcPr>
            <w:tcW w:w="663" w:type="dxa"/>
            <w:shd w:val="clear" w:color="auto" w:fill="auto"/>
            <w:noWrap/>
            <w:vAlign w:val="bottom"/>
            <w:hideMark/>
          </w:tcPr>
          <w:p w14:paraId="564F9CDF" w14:textId="77777777" w:rsidR="00BD4D02" w:rsidRPr="00BD4D02" w:rsidRDefault="00BD4D02" w:rsidP="00BD4D02">
            <w:pPr>
              <w:rPr>
                <w:sz w:val="20"/>
                <w:szCs w:val="20"/>
              </w:rPr>
            </w:pPr>
          </w:p>
        </w:tc>
        <w:tc>
          <w:tcPr>
            <w:tcW w:w="663" w:type="dxa"/>
            <w:shd w:val="clear" w:color="auto" w:fill="auto"/>
            <w:noWrap/>
            <w:vAlign w:val="bottom"/>
            <w:hideMark/>
          </w:tcPr>
          <w:p w14:paraId="47420CF3" w14:textId="77777777" w:rsidR="00BD4D02" w:rsidRPr="00BD4D02" w:rsidRDefault="00BD4D02" w:rsidP="00BD4D02">
            <w:pPr>
              <w:rPr>
                <w:sz w:val="20"/>
                <w:szCs w:val="20"/>
              </w:rPr>
            </w:pPr>
          </w:p>
        </w:tc>
        <w:tc>
          <w:tcPr>
            <w:tcW w:w="663" w:type="dxa"/>
            <w:shd w:val="clear" w:color="auto" w:fill="auto"/>
            <w:noWrap/>
            <w:vAlign w:val="bottom"/>
            <w:hideMark/>
          </w:tcPr>
          <w:p w14:paraId="4BF79C5F" w14:textId="77777777" w:rsidR="00BD4D02" w:rsidRPr="00BD4D02" w:rsidRDefault="00BD4D02" w:rsidP="00BD4D02">
            <w:pPr>
              <w:rPr>
                <w:sz w:val="20"/>
                <w:szCs w:val="20"/>
              </w:rPr>
            </w:pPr>
          </w:p>
        </w:tc>
        <w:tc>
          <w:tcPr>
            <w:tcW w:w="663" w:type="dxa"/>
            <w:shd w:val="clear" w:color="auto" w:fill="auto"/>
            <w:noWrap/>
            <w:vAlign w:val="bottom"/>
            <w:hideMark/>
          </w:tcPr>
          <w:p w14:paraId="7536B709" w14:textId="77777777" w:rsidR="00BD4D02" w:rsidRPr="00BD4D02" w:rsidRDefault="00BD4D02" w:rsidP="00BD4D02">
            <w:pPr>
              <w:rPr>
                <w:sz w:val="20"/>
                <w:szCs w:val="20"/>
              </w:rPr>
            </w:pPr>
          </w:p>
        </w:tc>
        <w:tc>
          <w:tcPr>
            <w:tcW w:w="663" w:type="dxa"/>
            <w:shd w:val="clear" w:color="auto" w:fill="auto"/>
            <w:noWrap/>
            <w:vAlign w:val="bottom"/>
            <w:hideMark/>
          </w:tcPr>
          <w:p w14:paraId="4F18BBE5"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02ED2220"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5E42E89C"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47E29159" w14:textId="77777777" w:rsidR="00BD4D02" w:rsidRPr="00BD4D02" w:rsidRDefault="00BD4D02" w:rsidP="00BD4D02">
            <w:pPr>
              <w:rPr>
                <w:sz w:val="20"/>
                <w:szCs w:val="20"/>
              </w:rPr>
            </w:pPr>
          </w:p>
        </w:tc>
        <w:tc>
          <w:tcPr>
            <w:tcW w:w="663" w:type="dxa"/>
            <w:shd w:val="clear" w:color="auto" w:fill="auto"/>
            <w:noWrap/>
            <w:vAlign w:val="bottom"/>
            <w:hideMark/>
          </w:tcPr>
          <w:p w14:paraId="59EEEAA8" w14:textId="77777777" w:rsidR="00BD4D02" w:rsidRPr="00BD4D02" w:rsidRDefault="00BD4D02" w:rsidP="00BD4D02">
            <w:pPr>
              <w:rPr>
                <w:sz w:val="20"/>
                <w:szCs w:val="20"/>
              </w:rPr>
            </w:pPr>
          </w:p>
        </w:tc>
        <w:tc>
          <w:tcPr>
            <w:tcW w:w="663" w:type="dxa"/>
            <w:shd w:val="clear" w:color="auto" w:fill="auto"/>
            <w:noWrap/>
            <w:vAlign w:val="bottom"/>
            <w:hideMark/>
          </w:tcPr>
          <w:p w14:paraId="3DAD1B61" w14:textId="77777777" w:rsidR="00BD4D02" w:rsidRPr="00BD4D02" w:rsidRDefault="00BD4D02" w:rsidP="00BD4D02">
            <w:pPr>
              <w:rPr>
                <w:sz w:val="20"/>
                <w:szCs w:val="20"/>
              </w:rPr>
            </w:pPr>
          </w:p>
        </w:tc>
        <w:tc>
          <w:tcPr>
            <w:tcW w:w="1180" w:type="dxa"/>
            <w:shd w:val="clear" w:color="auto" w:fill="auto"/>
            <w:noWrap/>
            <w:vAlign w:val="bottom"/>
            <w:hideMark/>
          </w:tcPr>
          <w:p w14:paraId="350024BE"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r>
      <w:tr w:rsidR="00BD4D02" w:rsidRPr="00BD4D02" w14:paraId="56EBC822" w14:textId="77777777" w:rsidTr="00050580">
        <w:trPr>
          <w:trHeight w:val="144"/>
        </w:trPr>
        <w:tc>
          <w:tcPr>
            <w:tcW w:w="4500" w:type="dxa"/>
            <w:shd w:val="clear" w:color="auto" w:fill="auto"/>
            <w:noWrap/>
            <w:vAlign w:val="bottom"/>
            <w:hideMark/>
          </w:tcPr>
          <w:p w14:paraId="2BEB020A"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Performance indicators</w:t>
            </w:r>
          </w:p>
        </w:tc>
        <w:tc>
          <w:tcPr>
            <w:tcW w:w="770" w:type="dxa"/>
            <w:shd w:val="clear" w:color="auto" w:fill="auto"/>
            <w:noWrap/>
            <w:vAlign w:val="bottom"/>
            <w:hideMark/>
          </w:tcPr>
          <w:p w14:paraId="71BA11E5"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0A4D7D59"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59CE7C3F"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61817093" w14:textId="77777777" w:rsidR="00BD4D02" w:rsidRPr="00BD4D02" w:rsidRDefault="00BD4D02" w:rsidP="00BD4D02">
            <w:pPr>
              <w:rPr>
                <w:sz w:val="20"/>
                <w:szCs w:val="20"/>
              </w:rPr>
            </w:pPr>
          </w:p>
        </w:tc>
        <w:tc>
          <w:tcPr>
            <w:tcW w:w="663" w:type="dxa"/>
            <w:shd w:val="clear" w:color="auto" w:fill="auto"/>
            <w:noWrap/>
            <w:vAlign w:val="bottom"/>
            <w:hideMark/>
          </w:tcPr>
          <w:p w14:paraId="3DC8A2A0" w14:textId="77777777" w:rsidR="00BD4D02" w:rsidRPr="00BD4D02" w:rsidRDefault="00BD4D02" w:rsidP="00BD4D02">
            <w:pPr>
              <w:rPr>
                <w:sz w:val="20"/>
                <w:szCs w:val="20"/>
              </w:rPr>
            </w:pPr>
          </w:p>
        </w:tc>
        <w:tc>
          <w:tcPr>
            <w:tcW w:w="663" w:type="dxa"/>
            <w:shd w:val="clear" w:color="auto" w:fill="auto"/>
            <w:noWrap/>
            <w:vAlign w:val="bottom"/>
            <w:hideMark/>
          </w:tcPr>
          <w:p w14:paraId="5513AB3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6E9B532F"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57D330DA"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6</w:t>
            </w:r>
          </w:p>
        </w:tc>
        <w:tc>
          <w:tcPr>
            <w:tcW w:w="663" w:type="dxa"/>
            <w:shd w:val="clear" w:color="auto" w:fill="auto"/>
            <w:noWrap/>
            <w:vAlign w:val="bottom"/>
            <w:hideMark/>
          </w:tcPr>
          <w:p w14:paraId="5C0601EC"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6D8495B2" w14:textId="77777777" w:rsidR="00BD4D02" w:rsidRPr="00BD4D02" w:rsidRDefault="00BD4D02" w:rsidP="00BD4D02">
            <w:pPr>
              <w:rPr>
                <w:sz w:val="20"/>
                <w:szCs w:val="20"/>
              </w:rPr>
            </w:pPr>
          </w:p>
        </w:tc>
        <w:tc>
          <w:tcPr>
            <w:tcW w:w="663" w:type="dxa"/>
            <w:shd w:val="clear" w:color="auto" w:fill="auto"/>
            <w:noWrap/>
            <w:vAlign w:val="bottom"/>
            <w:hideMark/>
          </w:tcPr>
          <w:p w14:paraId="126FBB23" w14:textId="77777777" w:rsidR="00BD4D02" w:rsidRPr="00BD4D02" w:rsidRDefault="00BD4D02" w:rsidP="00BD4D02">
            <w:pPr>
              <w:rPr>
                <w:sz w:val="20"/>
                <w:szCs w:val="20"/>
              </w:rPr>
            </w:pPr>
          </w:p>
        </w:tc>
        <w:tc>
          <w:tcPr>
            <w:tcW w:w="663" w:type="dxa"/>
            <w:shd w:val="clear" w:color="auto" w:fill="auto"/>
            <w:noWrap/>
            <w:vAlign w:val="bottom"/>
            <w:hideMark/>
          </w:tcPr>
          <w:p w14:paraId="636AEFBA" w14:textId="77777777" w:rsidR="00BD4D02" w:rsidRPr="00BD4D02" w:rsidRDefault="00BD4D02" w:rsidP="00BD4D02">
            <w:pPr>
              <w:rPr>
                <w:sz w:val="20"/>
                <w:szCs w:val="20"/>
              </w:rPr>
            </w:pPr>
          </w:p>
        </w:tc>
        <w:tc>
          <w:tcPr>
            <w:tcW w:w="1180" w:type="dxa"/>
            <w:shd w:val="clear" w:color="auto" w:fill="auto"/>
            <w:noWrap/>
            <w:vAlign w:val="bottom"/>
            <w:hideMark/>
          </w:tcPr>
          <w:p w14:paraId="187B8D63"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8</w:t>
            </w:r>
          </w:p>
        </w:tc>
      </w:tr>
      <w:tr w:rsidR="00BD4D02" w:rsidRPr="00BD4D02" w14:paraId="2798244E" w14:textId="77777777" w:rsidTr="00050580">
        <w:trPr>
          <w:trHeight w:val="144"/>
        </w:trPr>
        <w:tc>
          <w:tcPr>
            <w:tcW w:w="4500" w:type="dxa"/>
            <w:shd w:val="clear" w:color="auto" w:fill="auto"/>
            <w:noWrap/>
            <w:vAlign w:val="bottom"/>
            <w:hideMark/>
          </w:tcPr>
          <w:p w14:paraId="2E69B0E5"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Retail - data, private line</w:t>
            </w:r>
          </w:p>
        </w:tc>
        <w:tc>
          <w:tcPr>
            <w:tcW w:w="770" w:type="dxa"/>
            <w:shd w:val="clear" w:color="auto" w:fill="auto"/>
            <w:noWrap/>
            <w:vAlign w:val="bottom"/>
            <w:hideMark/>
          </w:tcPr>
          <w:p w14:paraId="27B4144A"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427B1F38" w14:textId="77777777" w:rsidR="00BD4D02" w:rsidRPr="00BD4D02" w:rsidRDefault="00BD4D02" w:rsidP="00BD4D02">
            <w:pPr>
              <w:rPr>
                <w:sz w:val="20"/>
                <w:szCs w:val="20"/>
              </w:rPr>
            </w:pPr>
          </w:p>
        </w:tc>
        <w:tc>
          <w:tcPr>
            <w:tcW w:w="663" w:type="dxa"/>
            <w:shd w:val="clear" w:color="auto" w:fill="auto"/>
            <w:noWrap/>
            <w:vAlign w:val="bottom"/>
            <w:hideMark/>
          </w:tcPr>
          <w:p w14:paraId="08697400" w14:textId="77777777" w:rsidR="00BD4D02" w:rsidRPr="00BD4D02" w:rsidRDefault="00BD4D02" w:rsidP="00BD4D02">
            <w:pPr>
              <w:rPr>
                <w:sz w:val="20"/>
                <w:szCs w:val="20"/>
              </w:rPr>
            </w:pPr>
          </w:p>
        </w:tc>
        <w:tc>
          <w:tcPr>
            <w:tcW w:w="663" w:type="dxa"/>
            <w:shd w:val="clear" w:color="auto" w:fill="auto"/>
            <w:noWrap/>
            <w:vAlign w:val="bottom"/>
            <w:hideMark/>
          </w:tcPr>
          <w:p w14:paraId="5093D082" w14:textId="77777777" w:rsidR="00BD4D02" w:rsidRPr="00BD4D02" w:rsidRDefault="00BD4D02" w:rsidP="00BD4D02">
            <w:pPr>
              <w:rPr>
                <w:sz w:val="20"/>
                <w:szCs w:val="20"/>
              </w:rPr>
            </w:pPr>
          </w:p>
        </w:tc>
        <w:tc>
          <w:tcPr>
            <w:tcW w:w="663" w:type="dxa"/>
            <w:shd w:val="clear" w:color="auto" w:fill="auto"/>
            <w:noWrap/>
            <w:vAlign w:val="bottom"/>
            <w:hideMark/>
          </w:tcPr>
          <w:p w14:paraId="51B2E105" w14:textId="77777777" w:rsidR="00BD4D02" w:rsidRPr="00BD4D02" w:rsidRDefault="00BD4D02" w:rsidP="00BD4D02">
            <w:pPr>
              <w:rPr>
                <w:sz w:val="20"/>
                <w:szCs w:val="20"/>
              </w:rPr>
            </w:pPr>
          </w:p>
        </w:tc>
        <w:tc>
          <w:tcPr>
            <w:tcW w:w="663" w:type="dxa"/>
            <w:shd w:val="clear" w:color="auto" w:fill="auto"/>
            <w:noWrap/>
            <w:vAlign w:val="bottom"/>
            <w:hideMark/>
          </w:tcPr>
          <w:p w14:paraId="566F55D5" w14:textId="77777777" w:rsidR="00BD4D02" w:rsidRPr="00BD4D02" w:rsidRDefault="00BD4D02" w:rsidP="00BD4D02">
            <w:pPr>
              <w:rPr>
                <w:sz w:val="20"/>
                <w:szCs w:val="20"/>
              </w:rPr>
            </w:pPr>
          </w:p>
        </w:tc>
        <w:tc>
          <w:tcPr>
            <w:tcW w:w="663" w:type="dxa"/>
            <w:shd w:val="clear" w:color="auto" w:fill="auto"/>
            <w:noWrap/>
            <w:vAlign w:val="bottom"/>
            <w:hideMark/>
          </w:tcPr>
          <w:p w14:paraId="083C9E21" w14:textId="77777777" w:rsidR="00BD4D02" w:rsidRPr="00BD4D02" w:rsidRDefault="00BD4D02" w:rsidP="00BD4D02">
            <w:pPr>
              <w:rPr>
                <w:sz w:val="20"/>
                <w:szCs w:val="20"/>
              </w:rPr>
            </w:pPr>
          </w:p>
        </w:tc>
        <w:tc>
          <w:tcPr>
            <w:tcW w:w="663" w:type="dxa"/>
            <w:shd w:val="clear" w:color="auto" w:fill="auto"/>
            <w:noWrap/>
            <w:vAlign w:val="bottom"/>
            <w:hideMark/>
          </w:tcPr>
          <w:p w14:paraId="188B11FC" w14:textId="77777777" w:rsidR="00BD4D02" w:rsidRPr="00BD4D02" w:rsidRDefault="00BD4D02" w:rsidP="00BD4D02">
            <w:pPr>
              <w:rPr>
                <w:sz w:val="20"/>
                <w:szCs w:val="20"/>
              </w:rPr>
            </w:pPr>
          </w:p>
        </w:tc>
        <w:tc>
          <w:tcPr>
            <w:tcW w:w="663" w:type="dxa"/>
            <w:shd w:val="clear" w:color="auto" w:fill="auto"/>
            <w:noWrap/>
            <w:vAlign w:val="bottom"/>
            <w:hideMark/>
          </w:tcPr>
          <w:p w14:paraId="2A3DBAA7" w14:textId="77777777" w:rsidR="00BD4D02" w:rsidRPr="00BD4D02" w:rsidRDefault="00BD4D02" w:rsidP="00BD4D02">
            <w:pPr>
              <w:rPr>
                <w:sz w:val="20"/>
                <w:szCs w:val="20"/>
              </w:rPr>
            </w:pPr>
          </w:p>
        </w:tc>
        <w:tc>
          <w:tcPr>
            <w:tcW w:w="663" w:type="dxa"/>
            <w:shd w:val="clear" w:color="auto" w:fill="auto"/>
            <w:noWrap/>
            <w:vAlign w:val="bottom"/>
            <w:hideMark/>
          </w:tcPr>
          <w:p w14:paraId="1D2E64CC" w14:textId="77777777" w:rsidR="00BD4D02" w:rsidRPr="00BD4D02" w:rsidRDefault="00BD4D02" w:rsidP="00BD4D02">
            <w:pPr>
              <w:rPr>
                <w:sz w:val="20"/>
                <w:szCs w:val="20"/>
              </w:rPr>
            </w:pPr>
          </w:p>
        </w:tc>
        <w:tc>
          <w:tcPr>
            <w:tcW w:w="663" w:type="dxa"/>
            <w:shd w:val="clear" w:color="auto" w:fill="auto"/>
            <w:noWrap/>
            <w:vAlign w:val="bottom"/>
            <w:hideMark/>
          </w:tcPr>
          <w:p w14:paraId="17DDAE91" w14:textId="77777777" w:rsidR="00BD4D02" w:rsidRPr="00BD4D02" w:rsidRDefault="00BD4D02" w:rsidP="00BD4D02">
            <w:pPr>
              <w:rPr>
                <w:sz w:val="20"/>
                <w:szCs w:val="20"/>
              </w:rPr>
            </w:pPr>
          </w:p>
        </w:tc>
        <w:tc>
          <w:tcPr>
            <w:tcW w:w="663" w:type="dxa"/>
            <w:shd w:val="clear" w:color="auto" w:fill="auto"/>
            <w:noWrap/>
            <w:vAlign w:val="bottom"/>
            <w:hideMark/>
          </w:tcPr>
          <w:p w14:paraId="2E7EBCF4"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1180" w:type="dxa"/>
            <w:shd w:val="clear" w:color="auto" w:fill="auto"/>
            <w:noWrap/>
            <w:vAlign w:val="bottom"/>
            <w:hideMark/>
          </w:tcPr>
          <w:p w14:paraId="4F23B308"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3ACC735C" w14:textId="77777777" w:rsidTr="00050580">
        <w:trPr>
          <w:trHeight w:val="144"/>
        </w:trPr>
        <w:tc>
          <w:tcPr>
            <w:tcW w:w="4500" w:type="dxa"/>
            <w:shd w:val="clear" w:color="auto" w:fill="auto"/>
            <w:noWrap/>
            <w:vAlign w:val="bottom"/>
            <w:hideMark/>
          </w:tcPr>
          <w:p w14:paraId="12B59B7B"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Retail data &amp; private line</w:t>
            </w:r>
          </w:p>
        </w:tc>
        <w:tc>
          <w:tcPr>
            <w:tcW w:w="770" w:type="dxa"/>
            <w:shd w:val="clear" w:color="auto" w:fill="auto"/>
            <w:noWrap/>
            <w:vAlign w:val="bottom"/>
            <w:hideMark/>
          </w:tcPr>
          <w:p w14:paraId="5C1A7AAD"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7EE11323" w14:textId="77777777" w:rsidR="00BD4D02" w:rsidRPr="00BD4D02" w:rsidRDefault="00BD4D02" w:rsidP="00BD4D02">
            <w:pPr>
              <w:rPr>
                <w:sz w:val="20"/>
                <w:szCs w:val="20"/>
              </w:rPr>
            </w:pPr>
          </w:p>
        </w:tc>
        <w:tc>
          <w:tcPr>
            <w:tcW w:w="663" w:type="dxa"/>
            <w:shd w:val="clear" w:color="auto" w:fill="auto"/>
            <w:noWrap/>
            <w:vAlign w:val="bottom"/>
            <w:hideMark/>
          </w:tcPr>
          <w:p w14:paraId="1BA8332F" w14:textId="77777777" w:rsidR="00BD4D02" w:rsidRPr="00BD4D02" w:rsidRDefault="00BD4D02" w:rsidP="00BD4D02">
            <w:pPr>
              <w:rPr>
                <w:sz w:val="20"/>
                <w:szCs w:val="20"/>
              </w:rPr>
            </w:pPr>
          </w:p>
        </w:tc>
        <w:tc>
          <w:tcPr>
            <w:tcW w:w="663" w:type="dxa"/>
            <w:shd w:val="clear" w:color="auto" w:fill="auto"/>
            <w:noWrap/>
            <w:vAlign w:val="bottom"/>
            <w:hideMark/>
          </w:tcPr>
          <w:p w14:paraId="1EC04328" w14:textId="77777777" w:rsidR="00BD4D02" w:rsidRPr="00BD4D02" w:rsidRDefault="00BD4D02" w:rsidP="00BD4D02">
            <w:pPr>
              <w:rPr>
                <w:sz w:val="20"/>
                <w:szCs w:val="20"/>
              </w:rPr>
            </w:pPr>
          </w:p>
        </w:tc>
        <w:tc>
          <w:tcPr>
            <w:tcW w:w="663" w:type="dxa"/>
            <w:shd w:val="clear" w:color="auto" w:fill="auto"/>
            <w:noWrap/>
            <w:vAlign w:val="bottom"/>
            <w:hideMark/>
          </w:tcPr>
          <w:p w14:paraId="50DD0808" w14:textId="77777777" w:rsidR="00BD4D02" w:rsidRPr="00BD4D02" w:rsidRDefault="00BD4D02" w:rsidP="00BD4D02">
            <w:pPr>
              <w:rPr>
                <w:sz w:val="20"/>
                <w:szCs w:val="20"/>
              </w:rPr>
            </w:pPr>
          </w:p>
        </w:tc>
        <w:tc>
          <w:tcPr>
            <w:tcW w:w="663" w:type="dxa"/>
            <w:shd w:val="clear" w:color="auto" w:fill="auto"/>
            <w:noWrap/>
            <w:vAlign w:val="bottom"/>
            <w:hideMark/>
          </w:tcPr>
          <w:p w14:paraId="4A8A0514" w14:textId="77777777" w:rsidR="00BD4D02" w:rsidRPr="00BD4D02" w:rsidRDefault="00BD4D02" w:rsidP="00BD4D02">
            <w:pPr>
              <w:rPr>
                <w:sz w:val="20"/>
                <w:szCs w:val="20"/>
              </w:rPr>
            </w:pPr>
          </w:p>
        </w:tc>
        <w:tc>
          <w:tcPr>
            <w:tcW w:w="663" w:type="dxa"/>
            <w:shd w:val="clear" w:color="auto" w:fill="auto"/>
            <w:noWrap/>
            <w:vAlign w:val="bottom"/>
            <w:hideMark/>
          </w:tcPr>
          <w:p w14:paraId="2BF1B8DE"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734DE600"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0E7D8789" w14:textId="77777777" w:rsidR="00BD4D02" w:rsidRPr="00BD4D02" w:rsidRDefault="00BD4D02" w:rsidP="00BD4D02">
            <w:pPr>
              <w:rPr>
                <w:sz w:val="20"/>
                <w:szCs w:val="20"/>
              </w:rPr>
            </w:pPr>
          </w:p>
        </w:tc>
        <w:tc>
          <w:tcPr>
            <w:tcW w:w="663" w:type="dxa"/>
            <w:shd w:val="clear" w:color="auto" w:fill="auto"/>
            <w:noWrap/>
            <w:vAlign w:val="bottom"/>
            <w:hideMark/>
          </w:tcPr>
          <w:p w14:paraId="00C55E3A" w14:textId="77777777" w:rsidR="00BD4D02" w:rsidRPr="00BD4D02" w:rsidRDefault="00BD4D02" w:rsidP="00BD4D02">
            <w:pPr>
              <w:rPr>
                <w:sz w:val="20"/>
                <w:szCs w:val="20"/>
              </w:rPr>
            </w:pPr>
          </w:p>
        </w:tc>
        <w:tc>
          <w:tcPr>
            <w:tcW w:w="663" w:type="dxa"/>
            <w:shd w:val="clear" w:color="auto" w:fill="auto"/>
            <w:noWrap/>
            <w:vAlign w:val="bottom"/>
            <w:hideMark/>
          </w:tcPr>
          <w:p w14:paraId="2EBC872D" w14:textId="77777777" w:rsidR="00BD4D02" w:rsidRPr="00BD4D02" w:rsidRDefault="00BD4D02" w:rsidP="00BD4D02">
            <w:pPr>
              <w:rPr>
                <w:sz w:val="20"/>
                <w:szCs w:val="20"/>
              </w:rPr>
            </w:pPr>
          </w:p>
        </w:tc>
        <w:tc>
          <w:tcPr>
            <w:tcW w:w="663" w:type="dxa"/>
            <w:shd w:val="clear" w:color="auto" w:fill="auto"/>
            <w:noWrap/>
            <w:vAlign w:val="bottom"/>
            <w:hideMark/>
          </w:tcPr>
          <w:p w14:paraId="119A945B" w14:textId="77777777" w:rsidR="00BD4D02" w:rsidRPr="00BD4D02" w:rsidRDefault="00BD4D02" w:rsidP="00BD4D02">
            <w:pPr>
              <w:rPr>
                <w:sz w:val="20"/>
                <w:szCs w:val="20"/>
              </w:rPr>
            </w:pPr>
          </w:p>
        </w:tc>
        <w:tc>
          <w:tcPr>
            <w:tcW w:w="1180" w:type="dxa"/>
            <w:shd w:val="clear" w:color="auto" w:fill="auto"/>
            <w:noWrap/>
            <w:vAlign w:val="bottom"/>
            <w:hideMark/>
          </w:tcPr>
          <w:p w14:paraId="723A1F37"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196FD6AF" w14:textId="77777777" w:rsidTr="00050580">
        <w:trPr>
          <w:trHeight w:val="144"/>
        </w:trPr>
        <w:tc>
          <w:tcPr>
            <w:tcW w:w="4500" w:type="dxa"/>
            <w:shd w:val="clear" w:color="auto" w:fill="auto"/>
            <w:noWrap/>
            <w:vAlign w:val="bottom"/>
            <w:hideMark/>
          </w:tcPr>
          <w:p w14:paraId="507261B8"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lastRenderedPageBreak/>
              <w:t>Retail VOIP</w:t>
            </w:r>
          </w:p>
        </w:tc>
        <w:tc>
          <w:tcPr>
            <w:tcW w:w="770" w:type="dxa"/>
            <w:shd w:val="clear" w:color="auto" w:fill="auto"/>
            <w:noWrap/>
            <w:vAlign w:val="bottom"/>
            <w:hideMark/>
          </w:tcPr>
          <w:p w14:paraId="4F1BACC1"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73BF4AF1" w14:textId="77777777" w:rsidR="00BD4D02" w:rsidRPr="00BD4D02" w:rsidRDefault="00BD4D02" w:rsidP="00BD4D02">
            <w:pPr>
              <w:rPr>
                <w:sz w:val="20"/>
                <w:szCs w:val="20"/>
              </w:rPr>
            </w:pPr>
          </w:p>
        </w:tc>
        <w:tc>
          <w:tcPr>
            <w:tcW w:w="663" w:type="dxa"/>
            <w:shd w:val="clear" w:color="auto" w:fill="auto"/>
            <w:noWrap/>
            <w:vAlign w:val="bottom"/>
            <w:hideMark/>
          </w:tcPr>
          <w:p w14:paraId="0CAAEFCC" w14:textId="77777777" w:rsidR="00BD4D02" w:rsidRPr="00BD4D02" w:rsidRDefault="00BD4D02" w:rsidP="00BD4D02">
            <w:pPr>
              <w:rPr>
                <w:sz w:val="20"/>
                <w:szCs w:val="20"/>
              </w:rPr>
            </w:pPr>
          </w:p>
        </w:tc>
        <w:tc>
          <w:tcPr>
            <w:tcW w:w="663" w:type="dxa"/>
            <w:shd w:val="clear" w:color="auto" w:fill="auto"/>
            <w:noWrap/>
            <w:vAlign w:val="bottom"/>
            <w:hideMark/>
          </w:tcPr>
          <w:p w14:paraId="14BE1C7C" w14:textId="77777777" w:rsidR="00BD4D02" w:rsidRPr="00BD4D02" w:rsidRDefault="00BD4D02" w:rsidP="00BD4D02">
            <w:pPr>
              <w:rPr>
                <w:sz w:val="20"/>
                <w:szCs w:val="20"/>
              </w:rPr>
            </w:pPr>
          </w:p>
        </w:tc>
        <w:tc>
          <w:tcPr>
            <w:tcW w:w="663" w:type="dxa"/>
            <w:shd w:val="clear" w:color="auto" w:fill="auto"/>
            <w:noWrap/>
            <w:vAlign w:val="bottom"/>
            <w:hideMark/>
          </w:tcPr>
          <w:p w14:paraId="5C577D70" w14:textId="77777777" w:rsidR="00BD4D02" w:rsidRPr="00BD4D02" w:rsidRDefault="00BD4D02" w:rsidP="00BD4D02">
            <w:pPr>
              <w:rPr>
                <w:sz w:val="20"/>
                <w:szCs w:val="20"/>
              </w:rPr>
            </w:pPr>
          </w:p>
        </w:tc>
        <w:tc>
          <w:tcPr>
            <w:tcW w:w="663" w:type="dxa"/>
            <w:shd w:val="clear" w:color="auto" w:fill="auto"/>
            <w:noWrap/>
            <w:vAlign w:val="bottom"/>
            <w:hideMark/>
          </w:tcPr>
          <w:p w14:paraId="23741AF7" w14:textId="77777777" w:rsidR="00BD4D02" w:rsidRPr="00BD4D02" w:rsidRDefault="00BD4D02" w:rsidP="00BD4D02">
            <w:pPr>
              <w:rPr>
                <w:sz w:val="20"/>
                <w:szCs w:val="20"/>
              </w:rPr>
            </w:pPr>
          </w:p>
        </w:tc>
        <w:tc>
          <w:tcPr>
            <w:tcW w:w="663" w:type="dxa"/>
            <w:shd w:val="clear" w:color="auto" w:fill="auto"/>
            <w:noWrap/>
            <w:vAlign w:val="bottom"/>
            <w:hideMark/>
          </w:tcPr>
          <w:p w14:paraId="383B3113"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51D67A59"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2C207702"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748256EC"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474D9BB6"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075B7840" w14:textId="77777777" w:rsidR="00BD4D02" w:rsidRPr="00BD4D02" w:rsidRDefault="00BD4D02" w:rsidP="00BD4D02">
            <w:pPr>
              <w:rPr>
                <w:sz w:val="20"/>
                <w:szCs w:val="20"/>
              </w:rPr>
            </w:pPr>
          </w:p>
        </w:tc>
        <w:tc>
          <w:tcPr>
            <w:tcW w:w="1180" w:type="dxa"/>
            <w:shd w:val="clear" w:color="auto" w:fill="auto"/>
            <w:noWrap/>
            <w:vAlign w:val="bottom"/>
            <w:hideMark/>
          </w:tcPr>
          <w:p w14:paraId="5B20EEA3"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4</w:t>
            </w:r>
          </w:p>
        </w:tc>
      </w:tr>
      <w:tr w:rsidR="00BD4D02" w:rsidRPr="00BD4D02" w14:paraId="4855938B" w14:textId="77777777" w:rsidTr="00050580">
        <w:trPr>
          <w:trHeight w:val="144"/>
        </w:trPr>
        <w:tc>
          <w:tcPr>
            <w:tcW w:w="4500" w:type="dxa"/>
            <w:shd w:val="clear" w:color="auto" w:fill="auto"/>
            <w:noWrap/>
            <w:vAlign w:val="bottom"/>
            <w:hideMark/>
          </w:tcPr>
          <w:p w14:paraId="728BA787"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Retail wireline</w:t>
            </w:r>
          </w:p>
        </w:tc>
        <w:tc>
          <w:tcPr>
            <w:tcW w:w="770" w:type="dxa"/>
            <w:shd w:val="clear" w:color="auto" w:fill="auto"/>
            <w:noWrap/>
            <w:vAlign w:val="bottom"/>
            <w:hideMark/>
          </w:tcPr>
          <w:p w14:paraId="72A6C978"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038C024C" w14:textId="77777777" w:rsidR="00BD4D02" w:rsidRPr="00BD4D02" w:rsidRDefault="00BD4D02" w:rsidP="00BD4D02">
            <w:pPr>
              <w:rPr>
                <w:sz w:val="20"/>
                <w:szCs w:val="20"/>
              </w:rPr>
            </w:pPr>
          </w:p>
        </w:tc>
        <w:tc>
          <w:tcPr>
            <w:tcW w:w="663" w:type="dxa"/>
            <w:shd w:val="clear" w:color="auto" w:fill="auto"/>
            <w:noWrap/>
            <w:vAlign w:val="bottom"/>
            <w:hideMark/>
          </w:tcPr>
          <w:p w14:paraId="2D40E145" w14:textId="77777777" w:rsidR="00BD4D02" w:rsidRPr="00BD4D02" w:rsidRDefault="00BD4D02" w:rsidP="00BD4D02">
            <w:pPr>
              <w:rPr>
                <w:sz w:val="20"/>
                <w:szCs w:val="20"/>
              </w:rPr>
            </w:pPr>
          </w:p>
        </w:tc>
        <w:tc>
          <w:tcPr>
            <w:tcW w:w="663" w:type="dxa"/>
            <w:shd w:val="clear" w:color="auto" w:fill="auto"/>
            <w:noWrap/>
            <w:vAlign w:val="bottom"/>
            <w:hideMark/>
          </w:tcPr>
          <w:p w14:paraId="2D0EEEBB" w14:textId="77777777" w:rsidR="00BD4D02" w:rsidRPr="00BD4D02" w:rsidRDefault="00BD4D02" w:rsidP="00BD4D02">
            <w:pPr>
              <w:rPr>
                <w:sz w:val="20"/>
                <w:szCs w:val="20"/>
              </w:rPr>
            </w:pPr>
          </w:p>
        </w:tc>
        <w:tc>
          <w:tcPr>
            <w:tcW w:w="663" w:type="dxa"/>
            <w:shd w:val="clear" w:color="auto" w:fill="auto"/>
            <w:noWrap/>
            <w:vAlign w:val="bottom"/>
            <w:hideMark/>
          </w:tcPr>
          <w:p w14:paraId="30E94D88" w14:textId="77777777" w:rsidR="00BD4D02" w:rsidRPr="00BD4D02" w:rsidRDefault="00BD4D02" w:rsidP="00BD4D02">
            <w:pPr>
              <w:rPr>
                <w:sz w:val="20"/>
                <w:szCs w:val="20"/>
              </w:rPr>
            </w:pPr>
          </w:p>
        </w:tc>
        <w:tc>
          <w:tcPr>
            <w:tcW w:w="663" w:type="dxa"/>
            <w:shd w:val="clear" w:color="auto" w:fill="auto"/>
            <w:noWrap/>
            <w:vAlign w:val="bottom"/>
            <w:hideMark/>
          </w:tcPr>
          <w:p w14:paraId="01502CD5" w14:textId="77777777" w:rsidR="00BD4D02" w:rsidRPr="00BD4D02" w:rsidRDefault="00BD4D02" w:rsidP="00BD4D02">
            <w:pPr>
              <w:rPr>
                <w:sz w:val="20"/>
                <w:szCs w:val="20"/>
              </w:rPr>
            </w:pPr>
          </w:p>
        </w:tc>
        <w:tc>
          <w:tcPr>
            <w:tcW w:w="663" w:type="dxa"/>
            <w:shd w:val="clear" w:color="auto" w:fill="auto"/>
            <w:noWrap/>
            <w:vAlign w:val="bottom"/>
            <w:hideMark/>
          </w:tcPr>
          <w:p w14:paraId="7BD4935C"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2526222B"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42F9804C" w14:textId="77777777" w:rsidR="00BD4D02" w:rsidRPr="00BD4D02" w:rsidRDefault="00BD4D02" w:rsidP="00BD4D02">
            <w:pPr>
              <w:rPr>
                <w:sz w:val="20"/>
                <w:szCs w:val="20"/>
              </w:rPr>
            </w:pPr>
          </w:p>
        </w:tc>
        <w:tc>
          <w:tcPr>
            <w:tcW w:w="663" w:type="dxa"/>
            <w:shd w:val="clear" w:color="auto" w:fill="auto"/>
            <w:noWrap/>
            <w:vAlign w:val="bottom"/>
            <w:hideMark/>
          </w:tcPr>
          <w:p w14:paraId="78BBB1AE" w14:textId="77777777" w:rsidR="00BD4D02" w:rsidRPr="00BD4D02" w:rsidRDefault="00BD4D02" w:rsidP="00BD4D02">
            <w:pPr>
              <w:rPr>
                <w:sz w:val="20"/>
                <w:szCs w:val="20"/>
              </w:rPr>
            </w:pPr>
          </w:p>
        </w:tc>
        <w:tc>
          <w:tcPr>
            <w:tcW w:w="663" w:type="dxa"/>
            <w:shd w:val="clear" w:color="auto" w:fill="auto"/>
            <w:noWrap/>
            <w:vAlign w:val="bottom"/>
            <w:hideMark/>
          </w:tcPr>
          <w:p w14:paraId="539C6AC1" w14:textId="77777777" w:rsidR="00BD4D02" w:rsidRPr="00BD4D02" w:rsidRDefault="00BD4D02" w:rsidP="00BD4D02">
            <w:pPr>
              <w:rPr>
                <w:sz w:val="20"/>
                <w:szCs w:val="20"/>
              </w:rPr>
            </w:pPr>
          </w:p>
        </w:tc>
        <w:tc>
          <w:tcPr>
            <w:tcW w:w="663" w:type="dxa"/>
            <w:shd w:val="clear" w:color="auto" w:fill="auto"/>
            <w:noWrap/>
            <w:vAlign w:val="bottom"/>
            <w:hideMark/>
          </w:tcPr>
          <w:p w14:paraId="32B84269" w14:textId="77777777" w:rsidR="00BD4D02" w:rsidRPr="00BD4D02" w:rsidRDefault="00BD4D02" w:rsidP="00BD4D02">
            <w:pPr>
              <w:rPr>
                <w:sz w:val="20"/>
                <w:szCs w:val="20"/>
              </w:rPr>
            </w:pPr>
          </w:p>
        </w:tc>
        <w:tc>
          <w:tcPr>
            <w:tcW w:w="1180" w:type="dxa"/>
            <w:shd w:val="clear" w:color="auto" w:fill="auto"/>
            <w:noWrap/>
            <w:vAlign w:val="bottom"/>
            <w:hideMark/>
          </w:tcPr>
          <w:p w14:paraId="61D876E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765AFD51" w14:textId="77777777" w:rsidTr="00050580">
        <w:trPr>
          <w:trHeight w:val="144"/>
        </w:trPr>
        <w:tc>
          <w:tcPr>
            <w:tcW w:w="4500" w:type="dxa"/>
            <w:shd w:val="clear" w:color="auto" w:fill="auto"/>
            <w:noWrap/>
            <w:vAlign w:val="bottom"/>
            <w:hideMark/>
          </w:tcPr>
          <w:p w14:paraId="160A145D"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Telecommunications</w:t>
            </w:r>
          </w:p>
        </w:tc>
        <w:tc>
          <w:tcPr>
            <w:tcW w:w="770" w:type="dxa"/>
            <w:shd w:val="clear" w:color="auto" w:fill="auto"/>
            <w:noWrap/>
            <w:vAlign w:val="bottom"/>
            <w:hideMark/>
          </w:tcPr>
          <w:p w14:paraId="1BBBF799"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15166AD2" w14:textId="77777777" w:rsidR="00BD4D02" w:rsidRPr="00BD4D02" w:rsidRDefault="00BD4D02" w:rsidP="00BD4D02">
            <w:pPr>
              <w:rPr>
                <w:sz w:val="20"/>
                <w:szCs w:val="20"/>
              </w:rPr>
            </w:pPr>
          </w:p>
        </w:tc>
        <w:tc>
          <w:tcPr>
            <w:tcW w:w="663" w:type="dxa"/>
            <w:shd w:val="clear" w:color="auto" w:fill="auto"/>
            <w:noWrap/>
            <w:vAlign w:val="bottom"/>
            <w:hideMark/>
          </w:tcPr>
          <w:p w14:paraId="180CC3A6" w14:textId="77777777" w:rsidR="00BD4D02" w:rsidRPr="00BD4D02" w:rsidRDefault="00BD4D02" w:rsidP="00BD4D02">
            <w:pPr>
              <w:rPr>
                <w:sz w:val="20"/>
                <w:szCs w:val="20"/>
              </w:rPr>
            </w:pPr>
          </w:p>
        </w:tc>
        <w:tc>
          <w:tcPr>
            <w:tcW w:w="663" w:type="dxa"/>
            <w:shd w:val="clear" w:color="auto" w:fill="auto"/>
            <w:noWrap/>
            <w:vAlign w:val="bottom"/>
            <w:hideMark/>
          </w:tcPr>
          <w:p w14:paraId="3CBA641D" w14:textId="77777777" w:rsidR="00BD4D02" w:rsidRPr="00BD4D02" w:rsidRDefault="00BD4D02" w:rsidP="00BD4D02">
            <w:pPr>
              <w:rPr>
                <w:sz w:val="20"/>
                <w:szCs w:val="20"/>
              </w:rPr>
            </w:pPr>
          </w:p>
        </w:tc>
        <w:tc>
          <w:tcPr>
            <w:tcW w:w="663" w:type="dxa"/>
            <w:shd w:val="clear" w:color="auto" w:fill="auto"/>
            <w:noWrap/>
            <w:vAlign w:val="bottom"/>
            <w:hideMark/>
          </w:tcPr>
          <w:p w14:paraId="559F77D6" w14:textId="77777777" w:rsidR="00BD4D02" w:rsidRPr="00BD4D02" w:rsidRDefault="00BD4D02" w:rsidP="00BD4D02">
            <w:pPr>
              <w:rPr>
                <w:sz w:val="20"/>
                <w:szCs w:val="20"/>
              </w:rPr>
            </w:pPr>
          </w:p>
        </w:tc>
        <w:tc>
          <w:tcPr>
            <w:tcW w:w="663" w:type="dxa"/>
            <w:shd w:val="clear" w:color="auto" w:fill="auto"/>
            <w:noWrap/>
            <w:vAlign w:val="bottom"/>
            <w:hideMark/>
          </w:tcPr>
          <w:p w14:paraId="61C53BA2" w14:textId="77777777" w:rsidR="00BD4D02" w:rsidRPr="00BD4D02" w:rsidRDefault="00BD4D02" w:rsidP="00BD4D02">
            <w:pPr>
              <w:rPr>
                <w:sz w:val="20"/>
                <w:szCs w:val="20"/>
              </w:rPr>
            </w:pPr>
          </w:p>
        </w:tc>
        <w:tc>
          <w:tcPr>
            <w:tcW w:w="663" w:type="dxa"/>
            <w:shd w:val="clear" w:color="auto" w:fill="auto"/>
            <w:noWrap/>
            <w:vAlign w:val="bottom"/>
            <w:hideMark/>
          </w:tcPr>
          <w:p w14:paraId="668DAF75"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w:t>
            </w:r>
          </w:p>
        </w:tc>
        <w:tc>
          <w:tcPr>
            <w:tcW w:w="663" w:type="dxa"/>
            <w:shd w:val="clear" w:color="auto" w:fill="auto"/>
            <w:noWrap/>
            <w:vAlign w:val="bottom"/>
            <w:hideMark/>
          </w:tcPr>
          <w:p w14:paraId="64911423"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2CBE6D7D" w14:textId="77777777" w:rsidR="00BD4D02" w:rsidRPr="00BD4D02" w:rsidRDefault="00BD4D02" w:rsidP="00BD4D02">
            <w:pPr>
              <w:rPr>
                <w:sz w:val="20"/>
                <w:szCs w:val="20"/>
              </w:rPr>
            </w:pPr>
          </w:p>
        </w:tc>
        <w:tc>
          <w:tcPr>
            <w:tcW w:w="663" w:type="dxa"/>
            <w:shd w:val="clear" w:color="auto" w:fill="auto"/>
            <w:noWrap/>
            <w:vAlign w:val="bottom"/>
            <w:hideMark/>
          </w:tcPr>
          <w:p w14:paraId="207B2808" w14:textId="77777777" w:rsidR="00BD4D02" w:rsidRPr="00BD4D02" w:rsidRDefault="00BD4D02" w:rsidP="00BD4D02">
            <w:pPr>
              <w:rPr>
                <w:sz w:val="20"/>
                <w:szCs w:val="20"/>
              </w:rPr>
            </w:pPr>
          </w:p>
        </w:tc>
        <w:tc>
          <w:tcPr>
            <w:tcW w:w="663" w:type="dxa"/>
            <w:shd w:val="clear" w:color="auto" w:fill="auto"/>
            <w:noWrap/>
            <w:vAlign w:val="bottom"/>
            <w:hideMark/>
          </w:tcPr>
          <w:p w14:paraId="2FBB89A8"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489CC833" w14:textId="77777777" w:rsidR="00BD4D02" w:rsidRPr="00BD4D02" w:rsidRDefault="00BD4D02" w:rsidP="00BD4D02">
            <w:pPr>
              <w:jc w:val="right"/>
              <w:rPr>
                <w:rFonts w:ascii="Calibri" w:hAnsi="Calibri" w:cs="Calibri"/>
                <w:color w:val="000000"/>
                <w:sz w:val="20"/>
                <w:szCs w:val="20"/>
              </w:rPr>
            </w:pPr>
          </w:p>
        </w:tc>
        <w:tc>
          <w:tcPr>
            <w:tcW w:w="1180" w:type="dxa"/>
            <w:shd w:val="clear" w:color="auto" w:fill="auto"/>
            <w:noWrap/>
            <w:vAlign w:val="bottom"/>
            <w:hideMark/>
          </w:tcPr>
          <w:p w14:paraId="41B92205"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4</w:t>
            </w:r>
          </w:p>
        </w:tc>
      </w:tr>
      <w:tr w:rsidR="00BD4D02" w:rsidRPr="00BD4D02" w14:paraId="693FB4FB" w14:textId="77777777" w:rsidTr="00050580">
        <w:trPr>
          <w:trHeight w:val="144"/>
        </w:trPr>
        <w:tc>
          <w:tcPr>
            <w:tcW w:w="4500" w:type="dxa"/>
            <w:shd w:val="clear" w:color="auto" w:fill="auto"/>
            <w:noWrap/>
            <w:vAlign w:val="bottom"/>
            <w:hideMark/>
          </w:tcPr>
          <w:p w14:paraId="1BB51506"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TSPs</w:t>
            </w:r>
          </w:p>
        </w:tc>
        <w:tc>
          <w:tcPr>
            <w:tcW w:w="770" w:type="dxa"/>
            <w:shd w:val="clear" w:color="auto" w:fill="auto"/>
            <w:noWrap/>
            <w:vAlign w:val="bottom"/>
            <w:hideMark/>
          </w:tcPr>
          <w:p w14:paraId="0CF43FC1"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113E87EA" w14:textId="77777777" w:rsidR="00BD4D02" w:rsidRPr="00BD4D02" w:rsidRDefault="00BD4D02" w:rsidP="00BD4D02">
            <w:pPr>
              <w:rPr>
                <w:sz w:val="20"/>
                <w:szCs w:val="20"/>
              </w:rPr>
            </w:pPr>
          </w:p>
        </w:tc>
        <w:tc>
          <w:tcPr>
            <w:tcW w:w="663" w:type="dxa"/>
            <w:shd w:val="clear" w:color="auto" w:fill="auto"/>
            <w:noWrap/>
            <w:vAlign w:val="bottom"/>
            <w:hideMark/>
          </w:tcPr>
          <w:p w14:paraId="26F0C359" w14:textId="77777777" w:rsidR="00BD4D02" w:rsidRPr="00BD4D02" w:rsidRDefault="00BD4D02" w:rsidP="00BD4D02">
            <w:pPr>
              <w:rPr>
                <w:sz w:val="20"/>
                <w:szCs w:val="20"/>
              </w:rPr>
            </w:pPr>
          </w:p>
        </w:tc>
        <w:tc>
          <w:tcPr>
            <w:tcW w:w="663" w:type="dxa"/>
            <w:shd w:val="clear" w:color="auto" w:fill="auto"/>
            <w:noWrap/>
            <w:vAlign w:val="bottom"/>
            <w:hideMark/>
          </w:tcPr>
          <w:p w14:paraId="7D82EEAB" w14:textId="77777777" w:rsidR="00BD4D02" w:rsidRPr="00BD4D02" w:rsidRDefault="00BD4D02" w:rsidP="00BD4D02">
            <w:pPr>
              <w:rPr>
                <w:sz w:val="20"/>
                <w:szCs w:val="20"/>
              </w:rPr>
            </w:pPr>
          </w:p>
        </w:tc>
        <w:tc>
          <w:tcPr>
            <w:tcW w:w="663" w:type="dxa"/>
            <w:shd w:val="clear" w:color="auto" w:fill="auto"/>
            <w:noWrap/>
            <w:vAlign w:val="bottom"/>
            <w:hideMark/>
          </w:tcPr>
          <w:p w14:paraId="230AFEF3" w14:textId="77777777" w:rsidR="00BD4D02" w:rsidRPr="00BD4D02" w:rsidRDefault="00BD4D02" w:rsidP="00BD4D02">
            <w:pPr>
              <w:rPr>
                <w:sz w:val="20"/>
                <w:szCs w:val="20"/>
              </w:rPr>
            </w:pPr>
          </w:p>
        </w:tc>
        <w:tc>
          <w:tcPr>
            <w:tcW w:w="663" w:type="dxa"/>
            <w:shd w:val="clear" w:color="auto" w:fill="auto"/>
            <w:noWrap/>
            <w:vAlign w:val="bottom"/>
            <w:hideMark/>
          </w:tcPr>
          <w:p w14:paraId="77E3683F" w14:textId="77777777" w:rsidR="00BD4D02" w:rsidRPr="00BD4D02" w:rsidRDefault="00BD4D02" w:rsidP="00BD4D02">
            <w:pPr>
              <w:rPr>
                <w:sz w:val="20"/>
                <w:szCs w:val="20"/>
              </w:rPr>
            </w:pPr>
          </w:p>
        </w:tc>
        <w:tc>
          <w:tcPr>
            <w:tcW w:w="663" w:type="dxa"/>
            <w:shd w:val="clear" w:color="auto" w:fill="auto"/>
            <w:noWrap/>
            <w:vAlign w:val="bottom"/>
            <w:hideMark/>
          </w:tcPr>
          <w:p w14:paraId="6A232D06" w14:textId="77777777" w:rsidR="00BD4D02" w:rsidRPr="00BD4D02" w:rsidRDefault="00BD4D02" w:rsidP="00BD4D02">
            <w:pPr>
              <w:rPr>
                <w:sz w:val="20"/>
                <w:szCs w:val="20"/>
              </w:rPr>
            </w:pPr>
          </w:p>
        </w:tc>
        <w:tc>
          <w:tcPr>
            <w:tcW w:w="663" w:type="dxa"/>
            <w:shd w:val="clear" w:color="auto" w:fill="auto"/>
            <w:noWrap/>
            <w:vAlign w:val="bottom"/>
            <w:hideMark/>
          </w:tcPr>
          <w:p w14:paraId="62832DFF" w14:textId="77777777" w:rsidR="00BD4D02" w:rsidRPr="00BD4D02" w:rsidRDefault="00BD4D02" w:rsidP="00BD4D02">
            <w:pPr>
              <w:rPr>
                <w:sz w:val="20"/>
                <w:szCs w:val="20"/>
              </w:rPr>
            </w:pPr>
          </w:p>
        </w:tc>
        <w:tc>
          <w:tcPr>
            <w:tcW w:w="663" w:type="dxa"/>
            <w:shd w:val="clear" w:color="auto" w:fill="auto"/>
            <w:noWrap/>
            <w:vAlign w:val="bottom"/>
            <w:hideMark/>
          </w:tcPr>
          <w:p w14:paraId="5D888247" w14:textId="77777777" w:rsidR="00BD4D02" w:rsidRPr="00BD4D02" w:rsidRDefault="00BD4D02" w:rsidP="00BD4D02">
            <w:pPr>
              <w:rPr>
                <w:sz w:val="20"/>
                <w:szCs w:val="20"/>
              </w:rPr>
            </w:pPr>
          </w:p>
        </w:tc>
        <w:tc>
          <w:tcPr>
            <w:tcW w:w="663" w:type="dxa"/>
            <w:shd w:val="clear" w:color="auto" w:fill="auto"/>
            <w:noWrap/>
            <w:vAlign w:val="bottom"/>
            <w:hideMark/>
          </w:tcPr>
          <w:p w14:paraId="58FAB42F" w14:textId="77777777" w:rsidR="00BD4D02" w:rsidRPr="00BD4D02" w:rsidRDefault="00BD4D02" w:rsidP="00BD4D02">
            <w:pPr>
              <w:rPr>
                <w:sz w:val="20"/>
                <w:szCs w:val="20"/>
              </w:rPr>
            </w:pPr>
          </w:p>
        </w:tc>
        <w:tc>
          <w:tcPr>
            <w:tcW w:w="663" w:type="dxa"/>
            <w:shd w:val="clear" w:color="auto" w:fill="auto"/>
            <w:noWrap/>
            <w:vAlign w:val="bottom"/>
            <w:hideMark/>
          </w:tcPr>
          <w:p w14:paraId="24DF5979"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27784E1A"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1180" w:type="dxa"/>
            <w:shd w:val="clear" w:color="auto" w:fill="auto"/>
            <w:noWrap/>
            <w:vAlign w:val="bottom"/>
            <w:hideMark/>
          </w:tcPr>
          <w:p w14:paraId="4D58F870"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w:t>
            </w:r>
          </w:p>
        </w:tc>
      </w:tr>
      <w:tr w:rsidR="00BD4D02" w:rsidRPr="00BD4D02" w14:paraId="076C8034" w14:textId="77777777" w:rsidTr="00050580">
        <w:trPr>
          <w:trHeight w:val="144"/>
        </w:trPr>
        <w:tc>
          <w:tcPr>
            <w:tcW w:w="4500" w:type="dxa"/>
            <w:shd w:val="clear" w:color="auto" w:fill="auto"/>
            <w:noWrap/>
            <w:vAlign w:val="bottom"/>
            <w:hideMark/>
          </w:tcPr>
          <w:p w14:paraId="4C0EE849"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Wholesale</w:t>
            </w:r>
          </w:p>
        </w:tc>
        <w:tc>
          <w:tcPr>
            <w:tcW w:w="770" w:type="dxa"/>
            <w:shd w:val="clear" w:color="auto" w:fill="auto"/>
            <w:noWrap/>
            <w:vAlign w:val="bottom"/>
            <w:hideMark/>
          </w:tcPr>
          <w:p w14:paraId="72F20FF5"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4B5B293B" w14:textId="77777777" w:rsidR="00BD4D02" w:rsidRPr="00BD4D02" w:rsidRDefault="00BD4D02" w:rsidP="00BD4D02">
            <w:pPr>
              <w:rPr>
                <w:sz w:val="20"/>
                <w:szCs w:val="20"/>
              </w:rPr>
            </w:pPr>
          </w:p>
        </w:tc>
        <w:tc>
          <w:tcPr>
            <w:tcW w:w="663" w:type="dxa"/>
            <w:shd w:val="clear" w:color="auto" w:fill="auto"/>
            <w:noWrap/>
            <w:vAlign w:val="bottom"/>
            <w:hideMark/>
          </w:tcPr>
          <w:p w14:paraId="0349A6C3" w14:textId="77777777" w:rsidR="00BD4D02" w:rsidRPr="00BD4D02" w:rsidRDefault="00BD4D02" w:rsidP="00BD4D02">
            <w:pPr>
              <w:rPr>
                <w:sz w:val="20"/>
                <w:szCs w:val="20"/>
              </w:rPr>
            </w:pPr>
          </w:p>
        </w:tc>
        <w:tc>
          <w:tcPr>
            <w:tcW w:w="663" w:type="dxa"/>
            <w:shd w:val="clear" w:color="auto" w:fill="auto"/>
            <w:noWrap/>
            <w:vAlign w:val="bottom"/>
            <w:hideMark/>
          </w:tcPr>
          <w:p w14:paraId="3B8F30A7" w14:textId="77777777" w:rsidR="00BD4D02" w:rsidRPr="00BD4D02" w:rsidRDefault="00BD4D02" w:rsidP="00BD4D02">
            <w:pPr>
              <w:rPr>
                <w:sz w:val="20"/>
                <w:szCs w:val="20"/>
              </w:rPr>
            </w:pPr>
          </w:p>
        </w:tc>
        <w:tc>
          <w:tcPr>
            <w:tcW w:w="663" w:type="dxa"/>
            <w:shd w:val="clear" w:color="auto" w:fill="auto"/>
            <w:noWrap/>
            <w:vAlign w:val="bottom"/>
            <w:hideMark/>
          </w:tcPr>
          <w:p w14:paraId="7F4A37C8" w14:textId="77777777" w:rsidR="00BD4D02" w:rsidRPr="00BD4D02" w:rsidRDefault="00BD4D02" w:rsidP="00BD4D02">
            <w:pPr>
              <w:rPr>
                <w:sz w:val="20"/>
                <w:szCs w:val="20"/>
              </w:rPr>
            </w:pPr>
          </w:p>
        </w:tc>
        <w:tc>
          <w:tcPr>
            <w:tcW w:w="663" w:type="dxa"/>
            <w:shd w:val="clear" w:color="auto" w:fill="auto"/>
            <w:noWrap/>
            <w:vAlign w:val="bottom"/>
            <w:hideMark/>
          </w:tcPr>
          <w:p w14:paraId="5D4ADE94" w14:textId="77777777" w:rsidR="00BD4D02" w:rsidRPr="00BD4D02" w:rsidRDefault="00BD4D02" w:rsidP="00BD4D02">
            <w:pPr>
              <w:rPr>
                <w:sz w:val="20"/>
                <w:szCs w:val="20"/>
              </w:rPr>
            </w:pPr>
          </w:p>
        </w:tc>
        <w:tc>
          <w:tcPr>
            <w:tcW w:w="663" w:type="dxa"/>
            <w:shd w:val="clear" w:color="auto" w:fill="auto"/>
            <w:noWrap/>
            <w:vAlign w:val="bottom"/>
            <w:hideMark/>
          </w:tcPr>
          <w:p w14:paraId="1C49B566" w14:textId="77777777" w:rsidR="00BD4D02" w:rsidRPr="00BD4D02" w:rsidRDefault="00BD4D02" w:rsidP="00BD4D02">
            <w:pPr>
              <w:rPr>
                <w:sz w:val="20"/>
                <w:szCs w:val="20"/>
              </w:rPr>
            </w:pPr>
          </w:p>
        </w:tc>
        <w:tc>
          <w:tcPr>
            <w:tcW w:w="663" w:type="dxa"/>
            <w:shd w:val="clear" w:color="auto" w:fill="auto"/>
            <w:noWrap/>
            <w:vAlign w:val="bottom"/>
            <w:hideMark/>
          </w:tcPr>
          <w:p w14:paraId="52C0D788" w14:textId="77777777" w:rsidR="00BD4D02" w:rsidRPr="00BD4D02" w:rsidRDefault="00BD4D02" w:rsidP="00BD4D02">
            <w:pPr>
              <w:rPr>
                <w:sz w:val="20"/>
                <w:szCs w:val="20"/>
              </w:rPr>
            </w:pPr>
          </w:p>
        </w:tc>
        <w:tc>
          <w:tcPr>
            <w:tcW w:w="663" w:type="dxa"/>
            <w:shd w:val="clear" w:color="auto" w:fill="auto"/>
            <w:noWrap/>
            <w:vAlign w:val="bottom"/>
            <w:hideMark/>
          </w:tcPr>
          <w:p w14:paraId="4B194F34" w14:textId="77777777" w:rsidR="00BD4D02" w:rsidRPr="00BD4D02" w:rsidRDefault="00BD4D02" w:rsidP="00BD4D02">
            <w:pPr>
              <w:rPr>
                <w:sz w:val="20"/>
                <w:szCs w:val="20"/>
              </w:rPr>
            </w:pPr>
          </w:p>
        </w:tc>
        <w:tc>
          <w:tcPr>
            <w:tcW w:w="663" w:type="dxa"/>
            <w:shd w:val="clear" w:color="auto" w:fill="auto"/>
            <w:noWrap/>
            <w:vAlign w:val="bottom"/>
            <w:hideMark/>
          </w:tcPr>
          <w:p w14:paraId="25004CB8" w14:textId="77777777" w:rsidR="00BD4D02" w:rsidRPr="00BD4D02" w:rsidRDefault="00BD4D02" w:rsidP="00BD4D02">
            <w:pPr>
              <w:rPr>
                <w:sz w:val="20"/>
                <w:szCs w:val="20"/>
              </w:rPr>
            </w:pPr>
          </w:p>
        </w:tc>
        <w:tc>
          <w:tcPr>
            <w:tcW w:w="663" w:type="dxa"/>
            <w:shd w:val="clear" w:color="auto" w:fill="auto"/>
            <w:noWrap/>
            <w:vAlign w:val="bottom"/>
            <w:hideMark/>
          </w:tcPr>
          <w:p w14:paraId="178BE59E" w14:textId="77777777" w:rsidR="00BD4D02" w:rsidRPr="00BD4D02" w:rsidRDefault="00BD4D02" w:rsidP="00BD4D02">
            <w:pPr>
              <w:rPr>
                <w:sz w:val="20"/>
                <w:szCs w:val="20"/>
              </w:rPr>
            </w:pPr>
          </w:p>
        </w:tc>
        <w:tc>
          <w:tcPr>
            <w:tcW w:w="663" w:type="dxa"/>
            <w:shd w:val="clear" w:color="auto" w:fill="auto"/>
            <w:noWrap/>
            <w:vAlign w:val="bottom"/>
            <w:hideMark/>
          </w:tcPr>
          <w:p w14:paraId="6CF4AFC5"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1180" w:type="dxa"/>
            <w:shd w:val="clear" w:color="auto" w:fill="auto"/>
            <w:noWrap/>
            <w:vAlign w:val="bottom"/>
            <w:hideMark/>
          </w:tcPr>
          <w:p w14:paraId="0207FC73"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0078A7B1" w14:textId="77777777" w:rsidTr="00050580">
        <w:trPr>
          <w:trHeight w:val="144"/>
        </w:trPr>
        <w:tc>
          <w:tcPr>
            <w:tcW w:w="4500" w:type="dxa"/>
            <w:shd w:val="clear" w:color="auto" w:fill="auto"/>
            <w:noWrap/>
            <w:vAlign w:val="bottom"/>
            <w:hideMark/>
          </w:tcPr>
          <w:p w14:paraId="687EF5C0"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Wireless</w:t>
            </w:r>
          </w:p>
        </w:tc>
        <w:tc>
          <w:tcPr>
            <w:tcW w:w="770" w:type="dxa"/>
            <w:shd w:val="clear" w:color="auto" w:fill="auto"/>
            <w:noWrap/>
            <w:vAlign w:val="bottom"/>
            <w:hideMark/>
          </w:tcPr>
          <w:p w14:paraId="69A6B3AF"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3B48358A" w14:textId="77777777" w:rsidR="00BD4D02" w:rsidRPr="00BD4D02" w:rsidRDefault="00BD4D02" w:rsidP="00BD4D02">
            <w:pPr>
              <w:rPr>
                <w:sz w:val="20"/>
                <w:szCs w:val="20"/>
              </w:rPr>
            </w:pPr>
          </w:p>
        </w:tc>
        <w:tc>
          <w:tcPr>
            <w:tcW w:w="663" w:type="dxa"/>
            <w:shd w:val="clear" w:color="auto" w:fill="auto"/>
            <w:noWrap/>
            <w:vAlign w:val="bottom"/>
            <w:hideMark/>
          </w:tcPr>
          <w:p w14:paraId="5C3AB75D"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53994885"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3A7FF913"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5A8310D0"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7128DD44"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47BD7483"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4A2B9457" w14:textId="77777777" w:rsidR="00BD4D02" w:rsidRPr="00BD4D02" w:rsidRDefault="00BD4D02" w:rsidP="00BD4D02">
            <w:pPr>
              <w:rPr>
                <w:sz w:val="20"/>
                <w:szCs w:val="20"/>
              </w:rPr>
            </w:pPr>
          </w:p>
        </w:tc>
        <w:tc>
          <w:tcPr>
            <w:tcW w:w="663" w:type="dxa"/>
            <w:shd w:val="clear" w:color="auto" w:fill="auto"/>
            <w:noWrap/>
            <w:vAlign w:val="bottom"/>
            <w:hideMark/>
          </w:tcPr>
          <w:p w14:paraId="04E6A3C7" w14:textId="77777777" w:rsidR="00BD4D02" w:rsidRPr="00BD4D02" w:rsidRDefault="00BD4D02" w:rsidP="00BD4D02">
            <w:pPr>
              <w:rPr>
                <w:sz w:val="20"/>
                <w:szCs w:val="20"/>
              </w:rPr>
            </w:pPr>
          </w:p>
        </w:tc>
        <w:tc>
          <w:tcPr>
            <w:tcW w:w="663" w:type="dxa"/>
            <w:shd w:val="clear" w:color="auto" w:fill="auto"/>
            <w:noWrap/>
            <w:vAlign w:val="bottom"/>
            <w:hideMark/>
          </w:tcPr>
          <w:p w14:paraId="1F25B86D" w14:textId="77777777" w:rsidR="00BD4D02" w:rsidRPr="00BD4D02" w:rsidRDefault="00BD4D02" w:rsidP="00BD4D02">
            <w:pPr>
              <w:rPr>
                <w:sz w:val="20"/>
                <w:szCs w:val="20"/>
              </w:rPr>
            </w:pPr>
          </w:p>
        </w:tc>
        <w:tc>
          <w:tcPr>
            <w:tcW w:w="663" w:type="dxa"/>
            <w:shd w:val="clear" w:color="auto" w:fill="auto"/>
            <w:noWrap/>
            <w:vAlign w:val="bottom"/>
            <w:hideMark/>
          </w:tcPr>
          <w:p w14:paraId="0520EABE" w14:textId="77777777" w:rsidR="00BD4D02" w:rsidRPr="00BD4D02" w:rsidRDefault="00BD4D02" w:rsidP="00BD4D02">
            <w:pPr>
              <w:rPr>
                <w:sz w:val="20"/>
                <w:szCs w:val="20"/>
              </w:rPr>
            </w:pPr>
          </w:p>
        </w:tc>
        <w:tc>
          <w:tcPr>
            <w:tcW w:w="1180" w:type="dxa"/>
            <w:shd w:val="clear" w:color="auto" w:fill="auto"/>
            <w:noWrap/>
            <w:vAlign w:val="bottom"/>
            <w:hideMark/>
          </w:tcPr>
          <w:p w14:paraId="5ADA36E4"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5</w:t>
            </w:r>
          </w:p>
        </w:tc>
      </w:tr>
      <w:tr w:rsidR="00BD4D02" w:rsidRPr="00BD4D02" w14:paraId="7A55EE6D" w14:textId="77777777" w:rsidTr="00050580">
        <w:trPr>
          <w:trHeight w:val="144"/>
        </w:trPr>
        <w:tc>
          <w:tcPr>
            <w:tcW w:w="4500" w:type="dxa"/>
            <w:shd w:val="clear" w:color="auto" w:fill="auto"/>
            <w:noWrap/>
            <w:vAlign w:val="bottom"/>
            <w:hideMark/>
          </w:tcPr>
          <w:p w14:paraId="2FC5E321"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Wireless - retail sector</w:t>
            </w:r>
          </w:p>
        </w:tc>
        <w:tc>
          <w:tcPr>
            <w:tcW w:w="770" w:type="dxa"/>
            <w:shd w:val="clear" w:color="auto" w:fill="auto"/>
            <w:noWrap/>
            <w:vAlign w:val="bottom"/>
            <w:hideMark/>
          </w:tcPr>
          <w:p w14:paraId="55A73ACF"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0B880A08" w14:textId="77777777" w:rsidR="00BD4D02" w:rsidRPr="00BD4D02" w:rsidRDefault="00BD4D02" w:rsidP="00BD4D02">
            <w:pPr>
              <w:rPr>
                <w:sz w:val="20"/>
                <w:szCs w:val="20"/>
              </w:rPr>
            </w:pPr>
          </w:p>
        </w:tc>
        <w:tc>
          <w:tcPr>
            <w:tcW w:w="663" w:type="dxa"/>
            <w:shd w:val="clear" w:color="auto" w:fill="auto"/>
            <w:noWrap/>
            <w:vAlign w:val="bottom"/>
            <w:hideMark/>
          </w:tcPr>
          <w:p w14:paraId="7CF58335" w14:textId="77777777" w:rsidR="00BD4D02" w:rsidRPr="00BD4D02" w:rsidRDefault="00BD4D02" w:rsidP="00BD4D02">
            <w:pPr>
              <w:rPr>
                <w:sz w:val="20"/>
                <w:szCs w:val="20"/>
              </w:rPr>
            </w:pPr>
          </w:p>
        </w:tc>
        <w:tc>
          <w:tcPr>
            <w:tcW w:w="663" w:type="dxa"/>
            <w:shd w:val="clear" w:color="auto" w:fill="auto"/>
            <w:noWrap/>
            <w:vAlign w:val="bottom"/>
            <w:hideMark/>
          </w:tcPr>
          <w:p w14:paraId="71B79232" w14:textId="77777777" w:rsidR="00BD4D02" w:rsidRPr="00BD4D02" w:rsidRDefault="00BD4D02" w:rsidP="00BD4D02">
            <w:pPr>
              <w:rPr>
                <w:sz w:val="20"/>
                <w:szCs w:val="20"/>
              </w:rPr>
            </w:pPr>
          </w:p>
        </w:tc>
        <w:tc>
          <w:tcPr>
            <w:tcW w:w="663" w:type="dxa"/>
            <w:shd w:val="clear" w:color="auto" w:fill="auto"/>
            <w:noWrap/>
            <w:vAlign w:val="bottom"/>
            <w:hideMark/>
          </w:tcPr>
          <w:p w14:paraId="2A707171" w14:textId="77777777" w:rsidR="00BD4D02" w:rsidRPr="00BD4D02" w:rsidRDefault="00BD4D02" w:rsidP="00BD4D02">
            <w:pPr>
              <w:rPr>
                <w:sz w:val="20"/>
                <w:szCs w:val="20"/>
              </w:rPr>
            </w:pPr>
          </w:p>
        </w:tc>
        <w:tc>
          <w:tcPr>
            <w:tcW w:w="663" w:type="dxa"/>
            <w:shd w:val="clear" w:color="auto" w:fill="auto"/>
            <w:noWrap/>
            <w:vAlign w:val="bottom"/>
            <w:hideMark/>
          </w:tcPr>
          <w:p w14:paraId="36BCB778" w14:textId="77777777" w:rsidR="00BD4D02" w:rsidRPr="00BD4D02" w:rsidRDefault="00BD4D02" w:rsidP="00BD4D02">
            <w:pPr>
              <w:rPr>
                <w:sz w:val="20"/>
                <w:szCs w:val="20"/>
              </w:rPr>
            </w:pPr>
          </w:p>
        </w:tc>
        <w:tc>
          <w:tcPr>
            <w:tcW w:w="663" w:type="dxa"/>
            <w:shd w:val="clear" w:color="auto" w:fill="auto"/>
            <w:noWrap/>
            <w:vAlign w:val="bottom"/>
            <w:hideMark/>
          </w:tcPr>
          <w:p w14:paraId="00D75203" w14:textId="77777777" w:rsidR="00BD4D02" w:rsidRPr="00BD4D02" w:rsidRDefault="00BD4D02" w:rsidP="00BD4D02">
            <w:pPr>
              <w:rPr>
                <w:sz w:val="20"/>
                <w:szCs w:val="20"/>
              </w:rPr>
            </w:pPr>
          </w:p>
        </w:tc>
        <w:tc>
          <w:tcPr>
            <w:tcW w:w="663" w:type="dxa"/>
            <w:shd w:val="clear" w:color="auto" w:fill="auto"/>
            <w:noWrap/>
            <w:vAlign w:val="bottom"/>
            <w:hideMark/>
          </w:tcPr>
          <w:p w14:paraId="5F71E147" w14:textId="77777777" w:rsidR="00BD4D02" w:rsidRPr="00BD4D02" w:rsidRDefault="00BD4D02" w:rsidP="00BD4D02">
            <w:pPr>
              <w:rPr>
                <w:sz w:val="20"/>
                <w:szCs w:val="20"/>
              </w:rPr>
            </w:pPr>
          </w:p>
        </w:tc>
        <w:tc>
          <w:tcPr>
            <w:tcW w:w="663" w:type="dxa"/>
            <w:shd w:val="clear" w:color="auto" w:fill="auto"/>
            <w:noWrap/>
            <w:vAlign w:val="bottom"/>
            <w:hideMark/>
          </w:tcPr>
          <w:p w14:paraId="2EDC56BC" w14:textId="77777777" w:rsidR="00BD4D02" w:rsidRPr="00BD4D02" w:rsidRDefault="00BD4D02" w:rsidP="00BD4D02">
            <w:pPr>
              <w:rPr>
                <w:sz w:val="20"/>
                <w:szCs w:val="20"/>
              </w:rPr>
            </w:pPr>
          </w:p>
        </w:tc>
        <w:tc>
          <w:tcPr>
            <w:tcW w:w="663" w:type="dxa"/>
            <w:shd w:val="clear" w:color="auto" w:fill="auto"/>
            <w:noWrap/>
            <w:vAlign w:val="bottom"/>
            <w:hideMark/>
          </w:tcPr>
          <w:p w14:paraId="55F8257D" w14:textId="77777777" w:rsidR="00BD4D02" w:rsidRPr="00BD4D02" w:rsidRDefault="00BD4D02" w:rsidP="00BD4D02">
            <w:pPr>
              <w:rPr>
                <w:sz w:val="20"/>
                <w:szCs w:val="20"/>
              </w:rPr>
            </w:pPr>
          </w:p>
        </w:tc>
        <w:tc>
          <w:tcPr>
            <w:tcW w:w="663" w:type="dxa"/>
            <w:shd w:val="clear" w:color="auto" w:fill="auto"/>
            <w:noWrap/>
            <w:vAlign w:val="bottom"/>
            <w:hideMark/>
          </w:tcPr>
          <w:p w14:paraId="2BC31948" w14:textId="77777777" w:rsidR="00BD4D02" w:rsidRPr="00BD4D02" w:rsidRDefault="00BD4D02" w:rsidP="00BD4D02">
            <w:pPr>
              <w:rPr>
                <w:sz w:val="20"/>
                <w:szCs w:val="20"/>
              </w:rPr>
            </w:pPr>
          </w:p>
        </w:tc>
        <w:tc>
          <w:tcPr>
            <w:tcW w:w="663" w:type="dxa"/>
            <w:shd w:val="clear" w:color="auto" w:fill="auto"/>
            <w:noWrap/>
            <w:vAlign w:val="bottom"/>
            <w:hideMark/>
          </w:tcPr>
          <w:p w14:paraId="76ADB612"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1180" w:type="dxa"/>
            <w:shd w:val="clear" w:color="auto" w:fill="auto"/>
            <w:noWrap/>
            <w:vAlign w:val="bottom"/>
            <w:hideMark/>
          </w:tcPr>
          <w:p w14:paraId="012EC55B"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09E6D674" w14:textId="77777777" w:rsidTr="00050580">
        <w:trPr>
          <w:trHeight w:val="144"/>
        </w:trPr>
        <w:tc>
          <w:tcPr>
            <w:tcW w:w="4500" w:type="dxa"/>
            <w:shd w:val="clear" w:color="auto" w:fill="auto"/>
            <w:noWrap/>
            <w:vAlign w:val="bottom"/>
            <w:hideMark/>
          </w:tcPr>
          <w:p w14:paraId="4DA8B88B"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WSPs</w:t>
            </w:r>
          </w:p>
        </w:tc>
        <w:tc>
          <w:tcPr>
            <w:tcW w:w="770" w:type="dxa"/>
            <w:shd w:val="clear" w:color="auto" w:fill="auto"/>
            <w:noWrap/>
            <w:vAlign w:val="bottom"/>
            <w:hideMark/>
          </w:tcPr>
          <w:p w14:paraId="5CBC95EB"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49D04804"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56678DA7"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5DB23574"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18B991AA"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2215D72A"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3AEC26C6" w14:textId="77777777" w:rsidR="00BD4D02" w:rsidRPr="00BD4D02" w:rsidRDefault="00BD4D02" w:rsidP="00BD4D02">
            <w:pPr>
              <w:rPr>
                <w:sz w:val="20"/>
                <w:szCs w:val="20"/>
              </w:rPr>
            </w:pPr>
          </w:p>
        </w:tc>
        <w:tc>
          <w:tcPr>
            <w:tcW w:w="663" w:type="dxa"/>
            <w:shd w:val="clear" w:color="auto" w:fill="auto"/>
            <w:noWrap/>
            <w:vAlign w:val="bottom"/>
            <w:hideMark/>
          </w:tcPr>
          <w:p w14:paraId="10983C78" w14:textId="77777777" w:rsidR="00BD4D02" w:rsidRPr="00BD4D02" w:rsidRDefault="00BD4D02" w:rsidP="00BD4D02">
            <w:pPr>
              <w:rPr>
                <w:sz w:val="20"/>
                <w:szCs w:val="20"/>
              </w:rPr>
            </w:pPr>
          </w:p>
        </w:tc>
        <w:tc>
          <w:tcPr>
            <w:tcW w:w="663" w:type="dxa"/>
            <w:shd w:val="clear" w:color="auto" w:fill="auto"/>
            <w:noWrap/>
            <w:vAlign w:val="bottom"/>
            <w:hideMark/>
          </w:tcPr>
          <w:p w14:paraId="3B548676" w14:textId="77777777" w:rsidR="00BD4D02" w:rsidRPr="00BD4D02" w:rsidRDefault="00BD4D02" w:rsidP="00BD4D02">
            <w:pPr>
              <w:rPr>
                <w:sz w:val="20"/>
                <w:szCs w:val="20"/>
              </w:rPr>
            </w:pPr>
          </w:p>
        </w:tc>
        <w:tc>
          <w:tcPr>
            <w:tcW w:w="663" w:type="dxa"/>
            <w:shd w:val="clear" w:color="auto" w:fill="auto"/>
            <w:noWrap/>
            <w:vAlign w:val="bottom"/>
            <w:hideMark/>
          </w:tcPr>
          <w:p w14:paraId="34B71F8E" w14:textId="77777777" w:rsidR="00BD4D02" w:rsidRPr="00BD4D02" w:rsidRDefault="00BD4D02" w:rsidP="00BD4D02">
            <w:pPr>
              <w:rPr>
                <w:sz w:val="20"/>
                <w:szCs w:val="20"/>
              </w:rPr>
            </w:pPr>
          </w:p>
        </w:tc>
        <w:tc>
          <w:tcPr>
            <w:tcW w:w="663" w:type="dxa"/>
            <w:shd w:val="clear" w:color="auto" w:fill="auto"/>
            <w:noWrap/>
            <w:vAlign w:val="bottom"/>
            <w:hideMark/>
          </w:tcPr>
          <w:p w14:paraId="70425763" w14:textId="77777777" w:rsidR="00BD4D02" w:rsidRPr="00BD4D02" w:rsidRDefault="00BD4D02" w:rsidP="00BD4D02">
            <w:pPr>
              <w:rPr>
                <w:sz w:val="20"/>
                <w:szCs w:val="20"/>
              </w:rPr>
            </w:pPr>
          </w:p>
        </w:tc>
        <w:tc>
          <w:tcPr>
            <w:tcW w:w="663" w:type="dxa"/>
            <w:shd w:val="clear" w:color="auto" w:fill="auto"/>
            <w:noWrap/>
            <w:vAlign w:val="bottom"/>
            <w:hideMark/>
          </w:tcPr>
          <w:p w14:paraId="3C1F51C6" w14:textId="77777777" w:rsidR="00BD4D02" w:rsidRPr="00BD4D02" w:rsidRDefault="00BD4D02" w:rsidP="00BD4D02">
            <w:pPr>
              <w:rPr>
                <w:sz w:val="20"/>
                <w:szCs w:val="20"/>
              </w:rPr>
            </w:pPr>
          </w:p>
        </w:tc>
        <w:tc>
          <w:tcPr>
            <w:tcW w:w="1180" w:type="dxa"/>
            <w:shd w:val="clear" w:color="auto" w:fill="auto"/>
            <w:noWrap/>
            <w:vAlign w:val="bottom"/>
            <w:hideMark/>
          </w:tcPr>
          <w:p w14:paraId="1890E67C"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w:t>
            </w:r>
          </w:p>
        </w:tc>
      </w:tr>
      <w:tr w:rsidR="00BD4D02" w:rsidRPr="00BD4D02" w14:paraId="0E8C76A2" w14:textId="77777777" w:rsidTr="00050580">
        <w:trPr>
          <w:trHeight w:val="144"/>
        </w:trPr>
        <w:tc>
          <w:tcPr>
            <w:tcW w:w="4500" w:type="dxa"/>
            <w:shd w:val="clear" w:color="auto" w:fill="auto"/>
            <w:noWrap/>
            <w:vAlign w:val="bottom"/>
            <w:hideMark/>
          </w:tcPr>
          <w:p w14:paraId="77BDC47A" w14:textId="77777777" w:rsidR="00BD4D02" w:rsidRPr="00BD4D02" w:rsidRDefault="00BD4D02" w:rsidP="00BD4D02">
            <w:pPr>
              <w:ind w:firstLineChars="100" w:firstLine="201"/>
              <w:rPr>
                <w:rFonts w:ascii="Calibri" w:hAnsi="Calibri" w:cs="Calibri"/>
                <w:b/>
                <w:bCs/>
                <w:color w:val="000000"/>
                <w:sz w:val="20"/>
                <w:szCs w:val="20"/>
              </w:rPr>
            </w:pPr>
            <w:r w:rsidRPr="00BD4D02">
              <w:rPr>
                <w:rFonts w:ascii="Calibri" w:hAnsi="Calibri" w:cs="Calibri"/>
                <w:b/>
                <w:bCs/>
                <w:color w:val="000000"/>
                <w:sz w:val="20"/>
                <w:szCs w:val="20"/>
              </w:rPr>
              <w:t>Broadcast services</w:t>
            </w:r>
          </w:p>
        </w:tc>
        <w:tc>
          <w:tcPr>
            <w:tcW w:w="770" w:type="dxa"/>
            <w:shd w:val="clear" w:color="auto" w:fill="auto"/>
            <w:noWrap/>
            <w:vAlign w:val="bottom"/>
            <w:hideMark/>
          </w:tcPr>
          <w:p w14:paraId="46278032" w14:textId="77777777" w:rsidR="00BD4D02" w:rsidRPr="00BD4D02" w:rsidRDefault="00BD4D02" w:rsidP="00BD4D02">
            <w:pPr>
              <w:ind w:firstLineChars="100" w:firstLine="201"/>
              <w:rPr>
                <w:rFonts w:ascii="Calibri" w:hAnsi="Calibri" w:cs="Calibri"/>
                <w:b/>
                <w:bCs/>
                <w:color w:val="000000"/>
                <w:sz w:val="20"/>
                <w:szCs w:val="20"/>
              </w:rPr>
            </w:pPr>
          </w:p>
        </w:tc>
        <w:tc>
          <w:tcPr>
            <w:tcW w:w="663" w:type="dxa"/>
            <w:shd w:val="clear" w:color="auto" w:fill="auto"/>
            <w:noWrap/>
            <w:vAlign w:val="bottom"/>
            <w:hideMark/>
          </w:tcPr>
          <w:p w14:paraId="746DCC03" w14:textId="77777777" w:rsidR="00BD4D02" w:rsidRPr="00BD4D02" w:rsidRDefault="00BD4D02" w:rsidP="00BD4D02">
            <w:pPr>
              <w:rPr>
                <w:sz w:val="20"/>
                <w:szCs w:val="20"/>
              </w:rPr>
            </w:pPr>
          </w:p>
        </w:tc>
        <w:tc>
          <w:tcPr>
            <w:tcW w:w="663" w:type="dxa"/>
            <w:shd w:val="clear" w:color="auto" w:fill="auto"/>
            <w:noWrap/>
            <w:vAlign w:val="bottom"/>
            <w:hideMark/>
          </w:tcPr>
          <w:p w14:paraId="333884BA" w14:textId="77777777" w:rsidR="00BD4D02" w:rsidRPr="00BD4D02" w:rsidRDefault="00BD4D02" w:rsidP="00BD4D02">
            <w:pPr>
              <w:rPr>
                <w:sz w:val="20"/>
                <w:szCs w:val="20"/>
              </w:rPr>
            </w:pPr>
          </w:p>
        </w:tc>
        <w:tc>
          <w:tcPr>
            <w:tcW w:w="663" w:type="dxa"/>
            <w:shd w:val="clear" w:color="auto" w:fill="auto"/>
            <w:noWrap/>
            <w:vAlign w:val="bottom"/>
            <w:hideMark/>
          </w:tcPr>
          <w:p w14:paraId="1A48B44E" w14:textId="77777777" w:rsidR="00BD4D02" w:rsidRPr="00BD4D02" w:rsidRDefault="00BD4D02" w:rsidP="00BD4D02">
            <w:pPr>
              <w:rPr>
                <w:sz w:val="20"/>
                <w:szCs w:val="20"/>
              </w:rPr>
            </w:pPr>
          </w:p>
        </w:tc>
        <w:tc>
          <w:tcPr>
            <w:tcW w:w="663" w:type="dxa"/>
            <w:shd w:val="clear" w:color="auto" w:fill="auto"/>
            <w:noWrap/>
            <w:vAlign w:val="bottom"/>
            <w:hideMark/>
          </w:tcPr>
          <w:p w14:paraId="7239DAEA" w14:textId="77777777" w:rsidR="00BD4D02" w:rsidRPr="00BD4D02" w:rsidRDefault="00BD4D02" w:rsidP="00BD4D02">
            <w:pPr>
              <w:rPr>
                <w:sz w:val="20"/>
                <w:szCs w:val="20"/>
              </w:rPr>
            </w:pPr>
          </w:p>
        </w:tc>
        <w:tc>
          <w:tcPr>
            <w:tcW w:w="663" w:type="dxa"/>
            <w:shd w:val="clear" w:color="auto" w:fill="auto"/>
            <w:noWrap/>
            <w:vAlign w:val="bottom"/>
            <w:hideMark/>
          </w:tcPr>
          <w:p w14:paraId="30904742"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w:t>
            </w:r>
          </w:p>
        </w:tc>
        <w:tc>
          <w:tcPr>
            <w:tcW w:w="663" w:type="dxa"/>
            <w:shd w:val="clear" w:color="auto" w:fill="auto"/>
            <w:noWrap/>
            <w:vAlign w:val="bottom"/>
            <w:hideMark/>
          </w:tcPr>
          <w:p w14:paraId="2A0A7962" w14:textId="77777777" w:rsidR="00BD4D02" w:rsidRPr="00BD4D02" w:rsidRDefault="00BD4D02" w:rsidP="00BD4D02">
            <w:pPr>
              <w:jc w:val="right"/>
              <w:rPr>
                <w:rFonts w:ascii="Calibri" w:hAnsi="Calibri" w:cs="Calibri"/>
                <w:b/>
                <w:bCs/>
                <w:color w:val="000000"/>
                <w:sz w:val="20"/>
                <w:szCs w:val="20"/>
              </w:rPr>
            </w:pPr>
          </w:p>
        </w:tc>
        <w:tc>
          <w:tcPr>
            <w:tcW w:w="663" w:type="dxa"/>
            <w:shd w:val="clear" w:color="auto" w:fill="auto"/>
            <w:noWrap/>
            <w:vAlign w:val="bottom"/>
            <w:hideMark/>
          </w:tcPr>
          <w:p w14:paraId="6EDF663C" w14:textId="77777777" w:rsidR="00BD4D02" w:rsidRPr="00BD4D02" w:rsidRDefault="00BD4D02" w:rsidP="00BD4D02">
            <w:pPr>
              <w:rPr>
                <w:sz w:val="20"/>
                <w:szCs w:val="20"/>
              </w:rPr>
            </w:pPr>
          </w:p>
        </w:tc>
        <w:tc>
          <w:tcPr>
            <w:tcW w:w="663" w:type="dxa"/>
            <w:shd w:val="clear" w:color="auto" w:fill="auto"/>
            <w:noWrap/>
            <w:vAlign w:val="bottom"/>
            <w:hideMark/>
          </w:tcPr>
          <w:p w14:paraId="0B621080" w14:textId="77777777" w:rsidR="00BD4D02" w:rsidRPr="00BD4D02" w:rsidRDefault="00BD4D02" w:rsidP="00BD4D02">
            <w:pPr>
              <w:rPr>
                <w:sz w:val="20"/>
                <w:szCs w:val="20"/>
              </w:rPr>
            </w:pPr>
          </w:p>
        </w:tc>
        <w:tc>
          <w:tcPr>
            <w:tcW w:w="663" w:type="dxa"/>
            <w:shd w:val="clear" w:color="auto" w:fill="auto"/>
            <w:noWrap/>
            <w:vAlign w:val="bottom"/>
            <w:hideMark/>
          </w:tcPr>
          <w:p w14:paraId="4C1FA5FD" w14:textId="77777777" w:rsidR="00BD4D02" w:rsidRPr="00BD4D02" w:rsidRDefault="00BD4D02" w:rsidP="00BD4D02">
            <w:pPr>
              <w:rPr>
                <w:sz w:val="20"/>
                <w:szCs w:val="20"/>
              </w:rPr>
            </w:pPr>
          </w:p>
        </w:tc>
        <w:tc>
          <w:tcPr>
            <w:tcW w:w="663" w:type="dxa"/>
            <w:shd w:val="clear" w:color="auto" w:fill="auto"/>
            <w:noWrap/>
            <w:vAlign w:val="bottom"/>
            <w:hideMark/>
          </w:tcPr>
          <w:p w14:paraId="752FAA2E" w14:textId="77777777" w:rsidR="00BD4D02" w:rsidRPr="00BD4D02" w:rsidRDefault="00BD4D02" w:rsidP="00BD4D02">
            <w:pPr>
              <w:rPr>
                <w:sz w:val="20"/>
                <w:szCs w:val="20"/>
              </w:rPr>
            </w:pPr>
          </w:p>
        </w:tc>
        <w:tc>
          <w:tcPr>
            <w:tcW w:w="663" w:type="dxa"/>
            <w:shd w:val="clear" w:color="auto" w:fill="auto"/>
            <w:noWrap/>
            <w:vAlign w:val="bottom"/>
            <w:hideMark/>
          </w:tcPr>
          <w:p w14:paraId="40A0ADA8" w14:textId="77777777" w:rsidR="00BD4D02" w:rsidRPr="00BD4D02" w:rsidRDefault="00BD4D02" w:rsidP="00BD4D02">
            <w:pPr>
              <w:rPr>
                <w:sz w:val="20"/>
                <w:szCs w:val="20"/>
              </w:rPr>
            </w:pPr>
          </w:p>
        </w:tc>
        <w:tc>
          <w:tcPr>
            <w:tcW w:w="1180" w:type="dxa"/>
            <w:shd w:val="clear" w:color="auto" w:fill="auto"/>
            <w:noWrap/>
            <w:vAlign w:val="bottom"/>
            <w:hideMark/>
          </w:tcPr>
          <w:p w14:paraId="6F32E51D"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w:t>
            </w:r>
          </w:p>
        </w:tc>
      </w:tr>
      <w:tr w:rsidR="00BD4D02" w:rsidRPr="00BD4D02" w14:paraId="7D347E2A" w14:textId="77777777" w:rsidTr="00050580">
        <w:trPr>
          <w:trHeight w:val="144"/>
        </w:trPr>
        <w:tc>
          <w:tcPr>
            <w:tcW w:w="4500" w:type="dxa"/>
            <w:shd w:val="clear" w:color="auto" w:fill="auto"/>
            <w:noWrap/>
            <w:vAlign w:val="bottom"/>
            <w:hideMark/>
          </w:tcPr>
          <w:p w14:paraId="3DAFEA50"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Subscriptions - Netflix</w:t>
            </w:r>
          </w:p>
        </w:tc>
        <w:tc>
          <w:tcPr>
            <w:tcW w:w="770" w:type="dxa"/>
            <w:shd w:val="clear" w:color="auto" w:fill="auto"/>
            <w:noWrap/>
            <w:vAlign w:val="bottom"/>
            <w:hideMark/>
          </w:tcPr>
          <w:p w14:paraId="20BCC127"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044AB097" w14:textId="77777777" w:rsidR="00BD4D02" w:rsidRPr="00BD4D02" w:rsidRDefault="00BD4D02" w:rsidP="00BD4D02">
            <w:pPr>
              <w:rPr>
                <w:sz w:val="20"/>
                <w:szCs w:val="20"/>
              </w:rPr>
            </w:pPr>
          </w:p>
        </w:tc>
        <w:tc>
          <w:tcPr>
            <w:tcW w:w="663" w:type="dxa"/>
            <w:shd w:val="clear" w:color="auto" w:fill="auto"/>
            <w:noWrap/>
            <w:vAlign w:val="bottom"/>
            <w:hideMark/>
          </w:tcPr>
          <w:p w14:paraId="406545E8" w14:textId="77777777" w:rsidR="00BD4D02" w:rsidRPr="00BD4D02" w:rsidRDefault="00BD4D02" w:rsidP="00BD4D02">
            <w:pPr>
              <w:rPr>
                <w:sz w:val="20"/>
                <w:szCs w:val="20"/>
              </w:rPr>
            </w:pPr>
          </w:p>
        </w:tc>
        <w:tc>
          <w:tcPr>
            <w:tcW w:w="663" w:type="dxa"/>
            <w:shd w:val="clear" w:color="auto" w:fill="auto"/>
            <w:noWrap/>
            <w:vAlign w:val="bottom"/>
            <w:hideMark/>
          </w:tcPr>
          <w:p w14:paraId="08379FD7" w14:textId="77777777" w:rsidR="00BD4D02" w:rsidRPr="00BD4D02" w:rsidRDefault="00BD4D02" w:rsidP="00BD4D02">
            <w:pPr>
              <w:rPr>
                <w:sz w:val="20"/>
                <w:szCs w:val="20"/>
              </w:rPr>
            </w:pPr>
          </w:p>
        </w:tc>
        <w:tc>
          <w:tcPr>
            <w:tcW w:w="663" w:type="dxa"/>
            <w:shd w:val="clear" w:color="auto" w:fill="auto"/>
            <w:noWrap/>
            <w:vAlign w:val="bottom"/>
            <w:hideMark/>
          </w:tcPr>
          <w:p w14:paraId="58FBA451" w14:textId="77777777" w:rsidR="00BD4D02" w:rsidRPr="00BD4D02" w:rsidRDefault="00BD4D02" w:rsidP="00BD4D02">
            <w:pPr>
              <w:rPr>
                <w:sz w:val="20"/>
                <w:szCs w:val="20"/>
              </w:rPr>
            </w:pPr>
          </w:p>
        </w:tc>
        <w:tc>
          <w:tcPr>
            <w:tcW w:w="663" w:type="dxa"/>
            <w:shd w:val="clear" w:color="auto" w:fill="auto"/>
            <w:noWrap/>
            <w:vAlign w:val="bottom"/>
            <w:hideMark/>
          </w:tcPr>
          <w:p w14:paraId="48DB8D85"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29D0F5D8"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507420BB" w14:textId="77777777" w:rsidR="00BD4D02" w:rsidRPr="00BD4D02" w:rsidRDefault="00BD4D02" w:rsidP="00BD4D02">
            <w:pPr>
              <w:rPr>
                <w:sz w:val="20"/>
                <w:szCs w:val="20"/>
              </w:rPr>
            </w:pPr>
          </w:p>
        </w:tc>
        <w:tc>
          <w:tcPr>
            <w:tcW w:w="663" w:type="dxa"/>
            <w:shd w:val="clear" w:color="auto" w:fill="auto"/>
            <w:noWrap/>
            <w:vAlign w:val="bottom"/>
            <w:hideMark/>
          </w:tcPr>
          <w:p w14:paraId="121887CB" w14:textId="77777777" w:rsidR="00BD4D02" w:rsidRPr="00BD4D02" w:rsidRDefault="00BD4D02" w:rsidP="00BD4D02">
            <w:pPr>
              <w:rPr>
                <w:sz w:val="20"/>
                <w:szCs w:val="20"/>
              </w:rPr>
            </w:pPr>
          </w:p>
        </w:tc>
        <w:tc>
          <w:tcPr>
            <w:tcW w:w="663" w:type="dxa"/>
            <w:shd w:val="clear" w:color="auto" w:fill="auto"/>
            <w:noWrap/>
            <w:vAlign w:val="bottom"/>
            <w:hideMark/>
          </w:tcPr>
          <w:p w14:paraId="521E32C3" w14:textId="77777777" w:rsidR="00BD4D02" w:rsidRPr="00BD4D02" w:rsidRDefault="00BD4D02" w:rsidP="00BD4D02">
            <w:pPr>
              <w:rPr>
                <w:sz w:val="20"/>
                <w:szCs w:val="20"/>
              </w:rPr>
            </w:pPr>
          </w:p>
        </w:tc>
        <w:tc>
          <w:tcPr>
            <w:tcW w:w="663" w:type="dxa"/>
            <w:shd w:val="clear" w:color="auto" w:fill="auto"/>
            <w:noWrap/>
            <w:vAlign w:val="bottom"/>
            <w:hideMark/>
          </w:tcPr>
          <w:p w14:paraId="6B8E4FA2" w14:textId="77777777" w:rsidR="00BD4D02" w:rsidRPr="00BD4D02" w:rsidRDefault="00BD4D02" w:rsidP="00BD4D02">
            <w:pPr>
              <w:rPr>
                <w:sz w:val="20"/>
                <w:szCs w:val="20"/>
              </w:rPr>
            </w:pPr>
          </w:p>
        </w:tc>
        <w:tc>
          <w:tcPr>
            <w:tcW w:w="663" w:type="dxa"/>
            <w:shd w:val="clear" w:color="auto" w:fill="auto"/>
            <w:noWrap/>
            <w:vAlign w:val="bottom"/>
            <w:hideMark/>
          </w:tcPr>
          <w:p w14:paraId="4D91F02A" w14:textId="77777777" w:rsidR="00BD4D02" w:rsidRPr="00BD4D02" w:rsidRDefault="00BD4D02" w:rsidP="00BD4D02">
            <w:pPr>
              <w:rPr>
                <w:sz w:val="20"/>
                <w:szCs w:val="20"/>
              </w:rPr>
            </w:pPr>
          </w:p>
        </w:tc>
        <w:tc>
          <w:tcPr>
            <w:tcW w:w="1180" w:type="dxa"/>
            <w:shd w:val="clear" w:color="auto" w:fill="auto"/>
            <w:noWrap/>
            <w:vAlign w:val="bottom"/>
            <w:hideMark/>
          </w:tcPr>
          <w:p w14:paraId="72B74DE7"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330C82CB" w14:textId="77777777" w:rsidTr="00050580">
        <w:trPr>
          <w:trHeight w:val="144"/>
        </w:trPr>
        <w:tc>
          <w:tcPr>
            <w:tcW w:w="4500" w:type="dxa"/>
            <w:shd w:val="clear" w:color="auto" w:fill="auto"/>
            <w:noWrap/>
            <w:vAlign w:val="bottom"/>
            <w:hideMark/>
          </w:tcPr>
          <w:p w14:paraId="61D91D26" w14:textId="77777777" w:rsidR="00BD4D02" w:rsidRPr="00BD4D02" w:rsidRDefault="00BD4D02" w:rsidP="00BD4D02">
            <w:pPr>
              <w:ind w:firstLineChars="100" w:firstLine="201"/>
              <w:rPr>
                <w:rFonts w:ascii="Calibri" w:hAnsi="Calibri" w:cs="Calibri"/>
                <w:b/>
                <w:bCs/>
                <w:color w:val="000000"/>
                <w:sz w:val="20"/>
                <w:szCs w:val="20"/>
              </w:rPr>
            </w:pPr>
            <w:r w:rsidRPr="00BD4D02">
              <w:rPr>
                <w:rFonts w:ascii="Calibri" w:hAnsi="Calibri" w:cs="Calibri"/>
                <w:b/>
                <w:bCs/>
                <w:color w:val="000000"/>
                <w:sz w:val="20"/>
                <w:szCs w:val="20"/>
              </w:rPr>
              <w:t xml:space="preserve">Availability - broadcasting </w:t>
            </w:r>
          </w:p>
        </w:tc>
        <w:tc>
          <w:tcPr>
            <w:tcW w:w="770" w:type="dxa"/>
            <w:shd w:val="clear" w:color="auto" w:fill="auto"/>
            <w:noWrap/>
            <w:vAlign w:val="bottom"/>
            <w:hideMark/>
          </w:tcPr>
          <w:p w14:paraId="61401970" w14:textId="77777777" w:rsidR="00BD4D02" w:rsidRPr="00BD4D02" w:rsidRDefault="00BD4D02" w:rsidP="00BD4D02">
            <w:pPr>
              <w:ind w:firstLineChars="100" w:firstLine="201"/>
              <w:rPr>
                <w:rFonts w:ascii="Calibri" w:hAnsi="Calibri" w:cs="Calibri"/>
                <w:b/>
                <w:bCs/>
                <w:color w:val="000000"/>
                <w:sz w:val="20"/>
                <w:szCs w:val="20"/>
              </w:rPr>
            </w:pPr>
          </w:p>
        </w:tc>
        <w:tc>
          <w:tcPr>
            <w:tcW w:w="663" w:type="dxa"/>
            <w:shd w:val="clear" w:color="auto" w:fill="auto"/>
            <w:noWrap/>
            <w:vAlign w:val="bottom"/>
            <w:hideMark/>
          </w:tcPr>
          <w:p w14:paraId="731CC755" w14:textId="77777777" w:rsidR="00BD4D02" w:rsidRPr="00BD4D02" w:rsidRDefault="00BD4D02" w:rsidP="00BD4D02">
            <w:pPr>
              <w:rPr>
                <w:sz w:val="20"/>
                <w:szCs w:val="20"/>
              </w:rPr>
            </w:pPr>
          </w:p>
        </w:tc>
        <w:tc>
          <w:tcPr>
            <w:tcW w:w="663" w:type="dxa"/>
            <w:shd w:val="clear" w:color="auto" w:fill="auto"/>
            <w:noWrap/>
            <w:vAlign w:val="bottom"/>
            <w:hideMark/>
          </w:tcPr>
          <w:p w14:paraId="32180C6E" w14:textId="77777777" w:rsidR="00BD4D02" w:rsidRPr="00BD4D02" w:rsidRDefault="00BD4D02" w:rsidP="00BD4D02">
            <w:pPr>
              <w:rPr>
                <w:sz w:val="20"/>
                <w:szCs w:val="20"/>
              </w:rPr>
            </w:pPr>
          </w:p>
        </w:tc>
        <w:tc>
          <w:tcPr>
            <w:tcW w:w="663" w:type="dxa"/>
            <w:shd w:val="clear" w:color="auto" w:fill="auto"/>
            <w:noWrap/>
            <w:vAlign w:val="bottom"/>
            <w:hideMark/>
          </w:tcPr>
          <w:p w14:paraId="5FA197E0" w14:textId="77777777" w:rsidR="00BD4D02" w:rsidRPr="00BD4D02" w:rsidRDefault="00BD4D02" w:rsidP="00BD4D02">
            <w:pPr>
              <w:rPr>
                <w:sz w:val="20"/>
                <w:szCs w:val="20"/>
              </w:rPr>
            </w:pPr>
          </w:p>
        </w:tc>
        <w:tc>
          <w:tcPr>
            <w:tcW w:w="663" w:type="dxa"/>
            <w:shd w:val="clear" w:color="auto" w:fill="auto"/>
            <w:noWrap/>
            <w:vAlign w:val="bottom"/>
            <w:hideMark/>
          </w:tcPr>
          <w:p w14:paraId="554C43E4" w14:textId="77777777" w:rsidR="00BD4D02" w:rsidRPr="00BD4D02" w:rsidRDefault="00BD4D02" w:rsidP="00BD4D02">
            <w:pPr>
              <w:rPr>
                <w:sz w:val="20"/>
                <w:szCs w:val="20"/>
              </w:rPr>
            </w:pPr>
          </w:p>
        </w:tc>
        <w:tc>
          <w:tcPr>
            <w:tcW w:w="663" w:type="dxa"/>
            <w:shd w:val="clear" w:color="auto" w:fill="auto"/>
            <w:noWrap/>
            <w:vAlign w:val="bottom"/>
            <w:hideMark/>
          </w:tcPr>
          <w:p w14:paraId="69D561A9" w14:textId="77777777" w:rsidR="00BD4D02" w:rsidRPr="00BD4D02" w:rsidRDefault="00BD4D02" w:rsidP="00BD4D02">
            <w:pPr>
              <w:rPr>
                <w:sz w:val="20"/>
                <w:szCs w:val="20"/>
              </w:rPr>
            </w:pPr>
          </w:p>
        </w:tc>
        <w:tc>
          <w:tcPr>
            <w:tcW w:w="663" w:type="dxa"/>
            <w:shd w:val="clear" w:color="auto" w:fill="auto"/>
            <w:noWrap/>
            <w:vAlign w:val="bottom"/>
            <w:hideMark/>
          </w:tcPr>
          <w:p w14:paraId="3A107673" w14:textId="77777777" w:rsidR="00BD4D02" w:rsidRPr="00BD4D02" w:rsidRDefault="00BD4D02" w:rsidP="00BD4D02">
            <w:pPr>
              <w:rPr>
                <w:sz w:val="20"/>
                <w:szCs w:val="20"/>
              </w:rPr>
            </w:pPr>
          </w:p>
        </w:tc>
        <w:tc>
          <w:tcPr>
            <w:tcW w:w="663" w:type="dxa"/>
            <w:shd w:val="clear" w:color="auto" w:fill="auto"/>
            <w:noWrap/>
            <w:vAlign w:val="bottom"/>
            <w:hideMark/>
          </w:tcPr>
          <w:p w14:paraId="249CDC64" w14:textId="77777777" w:rsidR="00BD4D02" w:rsidRPr="00BD4D02" w:rsidRDefault="00BD4D02" w:rsidP="00BD4D02">
            <w:pPr>
              <w:rPr>
                <w:sz w:val="20"/>
                <w:szCs w:val="20"/>
              </w:rPr>
            </w:pPr>
          </w:p>
        </w:tc>
        <w:tc>
          <w:tcPr>
            <w:tcW w:w="663" w:type="dxa"/>
            <w:shd w:val="clear" w:color="auto" w:fill="auto"/>
            <w:noWrap/>
            <w:vAlign w:val="bottom"/>
            <w:hideMark/>
          </w:tcPr>
          <w:p w14:paraId="30BFAE2A"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w:t>
            </w:r>
          </w:p>
        </w:tc>
        <w:tc>
          <w:tcPr>
            <w:tcW w:w="663" w:type="dxa"/>
            <w:shd w:val="clear" w:color="auto" w:fill="auto"/>
            <w:noWrap/>
            <w:vAlign w:val="bottom"/>
            <w:hideMark/>
          </w:tcPr>
          <w:p w14:paraId="44893FD3" w14:textId="77777777" w:rsidR="00BD4D02" w:rsidRPr="00BD4D02" w:rsidRDefault="00BD4D02" w:rsidP="00BD4D02">
            <w:pPr>
              <w:jc w:val="right"/>
              <w:rPr>
                <w:rFonts w:ascii="Calibri" w:hAnsi="Calibri" w:cs="Calibri"/>
                <w:b/>
                <w:bCs/>
                <w:color w:val="000000"/>
                <w:sz w:val="20"/>
                <w:szCs w:val="20"/>
              </w:rPr>
            </w:pPr>
          </w:p>
        </w:tc>
        <w:tc>
          <w:tcPr>
            <w:tcW w:w="663" w:type="dxa"/>
            <w:shd w:val="clear" w:color="auto" w:fill="auto"/>
            <w:noWrap/>
            <w:vAlign w:val="bottom"/>
            <w:hideMark/>
          </w:tcPr>
          <w:p w14:paraId="60624ED4" w14:textId="77777777" w:rsidR="00BD4D02" w:rsidRPr="00BD4D02" w:rsidRDefault="00BD4D02" w:rsidP="00BD4D02">
            <w:pPr>
              <w:rPr>
                <w:sz w:val="20"/>
                <w:szCs w:val="20"/>
              </w:rPr>
            </w:pPr>
          </w:p>
        </w:tc>
        <w:tc>
          <w:tcPr>
            <w:tcW w:w="663" w:type="dxa"/>
            <w:shd w:val="clear" w:color="auto" w:fill="auto"/>
            <w:noWrap/>
            <w:vAlign w:val="bottom"/>
            <w:hideMark/>
          </w:tcPr>
          <w:p w14:paraId="3676F84D" w14:textId="77777777" w:rsidR="00BD4D02" w:rsidRPr="00BD4D02" w:rsidRDefault="00BD4D02" w:rsidP="00BD4D02">
            <w:pPr>
              <w:rPr>
                <w:sz w:val="20"/>
                <w:szCs w:val="20"/>
              </w:rPr>
            </w:pPr>
          </w:p>
        </w:tc>
        <w:tc>
          <w:tcPr>
            <w:tcW w:w="1180" w:type="dxa"/>
            <w:shd w:val="clear" w:color="auto" w:fill="auto"/>
            <w:noWrap/>
            <w:vAlign w:val="bottom"/>
            <w:hideMark/>
          </w:tcPr>
          <w:p w14:paraId="0D208149"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w:t>
            </w:r>
          </w:p>
        </w:tc>
      </w:tr>
      <w:tr w:rsidR="00BD4D02" w:rsidRPr="00BD4D02" w14:paraId="387CD03C" w14:textId="77777777" w:rsidTr="00050580">
        <w:trPr>
          <w:trHeight w:val="144"/>
        </w:trPr>
        <w:tc>
          <w:tcPr>
            <w:tcW w:w="4500" w:type="dxa"/>
            <w:shd w:val="clear" w:color="auto" w:fill="auto"/>
            <w:noWrap/>
            <w:vAlign w:val="bottom"/>
            <w:hideMark/>
          </w:tcPr>
          <w:p w14:paraId="02028535"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Official language minorities</w:t>
            </w:r>
          </w:p>
        </w:tc>
        <w:tc>
          <w:tcPr>
            <w:tcW w:w="770" w:type="dxa"/>
            <w:shd w:val="clear" w:color="auto" w:fill="auto"/>
            <w:noWrap/>
            <w:vAlign w:val="bottom"/>
            <w:hideMark/>
          </w:tcPr>
          <w:p w14:paraId="35BD0577"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2F877D73" w14:textId="77777777" w:rsidR="00BD4D02" w:rsidRPr="00BD4D02" w:rsidRDefault="00BD4D02" w:rsidP="00BD4D02">
            <w:pPr>
              <w:rPr>
                <w:sz w:val="20"/>
                <w:szCs w:val="20"/>
              </w:rPr>
            </w:pPr>
          </w:p>
        </w:tc>
        <w:tc>
          <w:tcPr>
            <w:tcW w:w="663" w:type="dxa"/>
            <w:shd w:val="clear" w:color="auto" w:fill="auto"/>
            <w:noWrap/>
            <w:vAlign w:val="bottom"/>
            <w:hideMark/>
          </w:tcPr>
          <w:p w14:paraId="7BE47FBD" w14:textId="77777777" w:rsidR="00BD4D02" w:rsidRPr="00BD4D02" w:rsidRDefault="00BD4D02" w:rsidP="00BD4D02">
            <w:pPr>
              <w:rPr>
                <w:sz w:val="20"/>
                <w:szCs w:val="20"/>
              </w:rPr>
            </w:pPr>
          </w:p>
        </w:tc>
        <w:tc>
          <w:tcPr>
            <w:tcW w:w="663" w:type="dxa"/>
            <w:shd w:val="clear" w:color="auto" w:fill="auto"/>
            <w:noWrap/>
            <w:vAlign w:val="bottom"/>
            <w:hideMark/>
          </w:tcPr>
          <w:p w14:paraId="08056322" w14:textId="77777777" w:rsidR="00BD4D02" w:rsidRPr="00BD4D02" w:rsidRDefault="00BD4D02" w:rsidP="00BD4D02">
            <w:pPr>
              <w:rPr>
                <w:sz w:val="20"/>
                <w:szCs w:val="20"/>
              </w:rPr>
            </w:pPr>
          </w:p>
        </w:tc>
        <w:tc>
          <w:tcPr>
            <w:tcW w:w="663" w:type="dxa"/>
            <w:shd w:val="clear" w:color="auto" w:fill="auto"/>
            <w:noWrap/>
            <w:vAlign w:val="bottom"/>
            <w:hideMark/>
          </w:tcPr>
          <w:p w14:paraId="51B8D15D" w14:textId="77777777" w:rsidR="00BD4D02" w:rsidRPr="00BD4D02" w:rsidRDefault="00BD4D02" w:rsidP="00BD4D02">
            <w:pPr>
              <w:rPr>
                <w:sz w:val="20"/>
                <w:szCs w:val="20"/>
              </w:rPr>
            </w:pPr>
          </w:p>
        </w:tc>
        <w:tc>
          <w:tcPr>
            <w:tcW w:w="663" w:type="dxa"/>
            <w:shd w:val="clear" w:color="auto" w:fill="auto"/>
            <w:noWrap/>
            <w:vAlign w:val="bottom"/>
            <w:hideMark/>
          </w:tcPr>
          <w:p w14:paraId="3A44B799" w14:textId="77777777" w:rsidR="00BD4D02" w:rsidRPr="00BD4D02" w:rsidRDefault="00BD4D02" w:rsidP="00BD4D02">
            <w:pPr>
              <w:rPr>
                <w:sz w:val="20"/>
                <w:szCs w:val="20"/>
              </w:rPr>
            </w:pPr>
          </w:p>
        </w:tc>
        <w:tc>
          <w:tcPr>
            <w:tcW w:w="663" w:type="dxa"/>
            <w:shd w:val="clear" w:color="auto" w:fill="auto"/>
            <w:noWrap/>
            <w:vAlign w:val="bottom"/>
            <w:hideMark/>
          </w:tcPr>
          <w:p w14:paraId="7944481D" w14:textId="77777777" w:rsidR="00BD4D02" w:rsidRPr="00BD4D02" w:rsidRDefault="00BD4D02" w:rsidP="00BD4D02">
            <w:pPr>
              <w:rPr>
                <w:sz w:val="20"/>
                <w:szCs w:val="20"/>
              </w:rPr>
            </w:pPr>
          </w:p>
        </w:tc>
        <w:tc>
          <w:tcPr>
            <w:tcW w:w="663" w:type="dxa"/>
            <w:shd w:val="clear" w:color="auto" w:fill="auto"/>
            <w:noWrap/>
            <w:vAlign w:val="bottom"/>
            <w:hideMark/>
          </w:tcPr>
          <w:p w14:paraId="4B8F7114" w14:textId="77777777" w:rsidR="00BD4D02" w:rsidRPr="00BD4D02" w:rsidRDefault="00BD4D02" w:rsidP="00BD4D02">
            <w:pPr>
              <w:rPr>
                <w:sz w:val="20"/>
                <w:szCs w:val="20"/>
              </w:rPr>
            </w:pPr>
          </w:p>
        </w:tc>
        <w:tc>
          <w:tcPr>
            <w:tcW w:w="663" w:type="dxa"/>
            <w:shd w:val="clear" w:color="auto" w:fill="auto"/>
            <w:noWrap/>
            <w:vAlign w:val="bottom"/>
            <w:hideMark/>
          </w:tcPr>
          <w:p w14:paraId="58F1DF82"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521876DC"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0F94C0B3" w14:textId="77777777" w:rsidR="00BD4D02" w:rsidRPr="00BD4D02" w:rsidRDefault="00BD4D02" w:rsidP="00BD4D02">
            <w:pPr>
              <w:rPr>
                <w:sz w:val="20"/>
                <w:szCs w:val="20"/>
              </w:rPr>
            </w:pPr>
          </w:p>
        </w:tc>
        <w:tc>
          <w:tcPr>
            <w:tcW w:w="663" w:type="dxa"/>
            <w:shd w:val="clear" w:color="auto" w:fill="auto"/>
            <w:noWrap/>
            <w:vAlign w:val="bottom"/>
            <w:hideMark/>
          </w:tcPr>
          <w:p w14:paraId="58B14048" w14:textId="77777777" w:rsidR="00BD4D02" w:rsidRPr="00BD4D02" w:rsidRDefault="00BD4D02" w:rsidP="00BD4D02">
            <w:pPr>
              <w:rPr>
                <w:sz w:val="20"/>
                <w:szCs w:val="20"/>
              </w:rPr>
            </w:pPr>
          </w:p>
        </w:tc>
        <w:tc>
          <w:tcPr>
            <w:tcW w:w="1180" w:type="dxa"/>
            <w:shd w:val="clear" w:color="auto" w:fill="auto"/>
            <w:noWrap/>
            <w:vAlign w:val="bottom"/>
            <w:hideMark/>
          </w:tcPr>
          <w:p w14:paraId="22FBFF45"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42C20BC1" w14:textId="77777777" w:rsidTr="00050580">
        <w:trPr>
          <w:trHeight w:val="144"/>
        </w:trPr>
        <w:tc>
          <w:tcPr>
            <w:tcW w:w="4500" w:type="dxa"/>
            <w:shd w:val="clear" w:color="auto" w:fill="auto"/>
            <w:noWrap/>
            <w:vAlign w:val="bottom"/>
            <w:hideMark/>
          </w:tcPr>
          <w:p w14:paraId="274D634B" w14:textId="77777777" w:rsidR="00BD4D02" w:rsidRPr="00BD4D02" w:rsidRDefault="00BD4D02" w:rsidP="00BD4D02">
            <w:pPr>
              <w:ind w:firstLineChars="100" w:firstLine="201"/>
              <w:rPr>
                <w:rFonts w:ascii="Calibri" w:hAnsi="Calibri" w:cs="Calibri"/>
                <w:b/>
                <w:bCs/>
                <w:color w:val="000000"/>
                <w:sz w:val="20"/>
                <w:szCs w:val="20"/>
              </w:rPr>
            </w:pPr>
            <w:r w:rsidRPr="00BD4D02">
              <w:rPr>
                <w:rFonts w:ascii="Calibri" w:hAnsi="Calibri" w:cs="Calibri"/>
                <w:b/>
                <w:bCs/>
                <w:color w:val="000000"/>
                <w:sz w:val="20"/>
                <w:szCs w:val="20"/>
              </w:rPr>
              <w:t>Canadians' use</w:t>
            </w:r>
          </w:p>
        </w:tc>
        <w:tc>
          <w:tcPr>
            <w:tcW w:w="770" w:type="dxa"/>
            <w:shd w:val="clear" w:color="auto" w:fill="auto"/>
            <w:noWrap/>
            <w:vAlign w:val="bottom"/>
            <w:hideMark/>
          </w:tcPr>
          <w:p w14:paraId="5EE6F163" w14:textId="77777777" w:rsidR="00BD4D02" w:rsidRPr="00BD4D02" w:rsidRDefault="00BD4D02" w:rsidP="00BD4D02">
            <w:pPr>
              <w:ind w:firstLineChars="100" w:firstLine="201"/>
              <w:rPr>
                <w:rFonts w:ascii="Calibri" w:hAnsi="Calibri" w:cs="Calibri"/>
                <w:b/>
                <w:bCs/>
                <w:color w:val="000000"/>
                <w:sz w:val="20"/>
                <w:szCs w:val="20"/>
              </w:rPr>
            </w:pPr>
          </w:p>
        </w:tc>
        <w:tc>
          <w:tcPr>
            <w:tcW w:w="663" w:type="dxa"/>
            <w:shd w:val="clear" w:color="auto" w:fill="auto"/>
            <w:noWrap/>
            <w:vAlign w:val="bottom"/>
            <w:hideMark/>
          </w:tcPr>
          <w:p w14:paraId="5CC74532" w14:textId="77777777" w:rsidR="00BD4D02" w:rsidRPr="00BD4D02" w:rsidRDefault="00BD4D02" w:rsidP="00BD4D02">
            <w:pPr>
              <w:rPr>
                <w:sz w:val="20"/>
                <w:szCs w:val="20"/>
              </w:rPr>
            </w:pPr>
          </w:p>
        </w:tc>
        <w:tc>
          <w:tcPr>
            <w:tcW w:w="663" w:type="dxa"/>
            <w:shd w:val="clear" w:color="auto" w:fill="auto"/>
            <w:noWrap/>
            <w:vAlign w:val="bottom"/>
            <w:hideMark/>
          </w:tcPr>
          <w:p w14:paraId="63B66E05" w14:textId="77777777" w:rsidR="00BD4D02" w:rsidRPr="00BD4D02" w:rsidRDefault="00BD4D02" w:rsidP="00BD4D02">
            <w:pPr>
              <w:rPr>
                <w:sz w:val="20"/>
                <w:szCs w:val="20"/>
              </w:rPr>
            </w:pPr>
          </w:p>
        </w:tc>
        <w:tc>
          <w:tcPr>
            <w:tcW w:w="663" w:type="dxa"/>
            <w:shd w:val="clear" w:color="auto" w:fill="auto"/>
            <w:noWrap/>
            <w:vAlign w:val="bottom"/>
            <w:hideMark/>
          </w:tcPr>
          <w:p w14:paraId="68A7B45E" w14:textId="77777777" w:rsidR="00BD4D02" w:rsidRPr="00BD4D02" w:rsidRDefault="00BD4D02" w:rsidP="00BD4D02">
            <w:pPr>
              <w:rPr>
                <w:sz w:val="20"/>
                <w:szCs w:val="20"/>
              </w:rPr>
            </w:pPr>
          </w:p>
        </w:tc>
        <w:tc>
          <w:tcPr>
            <w:tcW w:w="663" w:type="dxa"/>
            <w:shd w:val="clear" w:color="auto" w:fill="auto"/>
            <w:noWrap/>
            <w:vAlign w:val="bottom"/>
            <w:hideMark/>
          </w:tcPr>
          <w:p w14:paraId="04BF7256" w14:textId="77777777" w:rsidR="00BD4D02" w:rsidRPr="00BD4D02" w:rsidRDefault="00BD4D02" w:rsidP="00BD4D02">
            <w:pPr>
              <w:rPr>
                <w:sz w:val="20"/>
                <w:szCs w:val="20"/>
              </w:rPr>
            </w:pPr>
          </w:p>
        </w:tc>
        <w:tc>
          <w:tcPr>
            <w:tcW w:w="663" w:type="dxa"/>
            <w:shd w:val="clear" w:color="auto" w:fill="auto"/>
            <w:noWrap/>
            <w:vAlign w:val="bottom"/>
            <w:hideMark/>
          </w:tcPr>
          <w:p w14:paraId="3F920E35"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6</w:t>
            </w:r>
          </w:p>
        </w:tc>
        <w:tc>
          <w:tcPr>
            <w:tcW w:w="663" w:type="dxa"/>
            <w:shd w:val="clear" w:color="auto" w:fill="auto"/>
            <w:noWrap/>
            <w:vAlign w:val="bottom"/>
            <w:hideMark/>
          </w:tcPr>
          <w:p w14:paraId="6137CD3C" w14:textId="77777777" w:rsidR="00BD4D02" w:rsidRPr="00BD4D02" w:rsidRDefault="00BD4D02" w:rsidP="00BD4D02">
            <w:pPr>
              <w:jc w:val="right"/>
              <w:rPr>
                <w:rFonts w:ascii="Calibri" w:hAnsi="Calibri" w:cs="Calibri"/>
                <w:b/>
                <w:bCs/>
                <w:color w:val="000000"/>
                <w:sz w:val="20"/>
                <w:szCs w:val="20"/>
              </w:rPr>
            </w:pPr>
          </w:p>
        </w:tc>
        <w:tc>
          <w:tcPr>
            <w:tcW w:w="663" w:type="dxa"/>
            <w:shd w:val="clear" w:color="auto" w:fill="auto"/>
            <w:noWrap/>
            <w:vAlign w:val="bottom"/>
            <w:hideMark/>
          </w:tcPr>
          <w:p w14:paraId="34C969AA" w14:textId="77777777" w:rsidR="00BD4D02" w:rsidRPr="00BD4D02" w:rsidRDefault="00BD4D02" w:rsidP="00BD4D02">
            <w:pPr>
              <w:rPr>
                <w:sz w:val="20"/>
                <w:szCs w:val="20"/>
              </w:rPr>
            </w:pPr>
          </w:p>
        </w:tc>
        <w:tc>
          <w:tcPr>
            <w:tcW w:w="663" w:type="dxa"/>
            <w:shd w:val="clear" w:color="auto" w:fill="auto"/>
            <w:noWrap/>
            <w:vAlign w:val="bottom"/>
            <w:hideMark/>
          </w:tcPr>
          <w:p w14:paraId="2DE763B1"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w:t>
            </w:r>
          </w:p>
        </w:tc>
        <w:tc>
          <w:tcPr>
            <w:tcW w:w="663" w:type="dxa"/>
            <w:shd w:val="clear" w:color="auto" w:fill="auto"/>
            <w:noWrap/>
            <w:vAlign w:val="bottom"/>
            <w:hideMark/>
          </w:tcPr>
          <w:p w14:paraId="20E85B57" w14:textId="77777777" w:rsidR="00BD4D02" w:rsidRPr="00BD4D02" w:rsidRDefault="00BD4D02" w:rsidP="00BD4D02">
            <w:pPr>
              <w:jc w:val="right"/>
              <w:rPr>
                <w:rFonts w:ascii="Calibri" w:hAnsi="Calibri" w:cs="Calibri"/>
                <w:b/>
                <w:bCs/>
                <w:color w:val="000000"/>
                <w:sz w:val="20"/>
                <w:szCs w:val="20"/>
              </w:rPr>
            </w:pPr>
          </w:p>
        </w:tc>
        <w:tc>
          <w:tcPr>
            <w:tcW w:w="663" w:type="dxa"/>
            <w:shd w:val="clear" w:color="auto" w:fill="auto"/>
            <w:noWrap/>
            <w:vAlign w:val="bottom"/>
            <w:hideMark/>
          </w:tcPr>
          <w:p w14:paraId="0D04CA83" w14:textId="77777777" w:rsidR="00BD4D02" w:rsidRPr="00BD4D02" w:rsidRDefault="00BD4D02" w:rsidP="00BD4D02">
            <w:pPr>
              <w:rPr>
                <w:sz w:val="20"/>
                <w:szCs w:val="20"/>
              </w:rPr>
            </w:pPr>
          </w:p>
        </w:tc>
        <w:tc>
          <w:tcPr>
            <w:tcW w:w="663" w:type="dxa"/>
            <w:shd w:val="clear" w:color="auto" w:fill="auto"/>
            <w:noWrap/>
            <w:vAlign w:val="bottom"/>
            <w:hideMark/>
          </w:tcPr>
          <w:p w14:paraId="0BD9B605" w14:textId="77777777" w:rsidR="00BD4D02" w:rsidRPr="00BD4D02" w:rsidRDefault="00BD4D02" w:rsidP="00BD4D02">
            <w:pPr>
              <w:rPr>
                <w:sz w:val="20"/>
                <w:szCs w:val="20"/>
              </w:rPr>
            </w:pPr>
          </w:p>
        </w:tc>
        <w:tc>
          <w:tcPr>
            <w:tcW w:w="1180" w:type="dxa"/>
            <w:shd w:val="clear" w:color="auto" w:fill="auto"/>
            <w:noWrap/>
            <w:vAlign w:val="bottom"/>
            <w:hideMark/>
          </w:tcPr>
          <w:p w14:paraId="3A289AA9"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7</w:t>
            </w:r>
          </w:p>
        </w:tc>
      </w:tr>
      <w:tr w:rsidR="00BD4D02" w:rsidRPr="00BD4D02" w14:paraId="226DC131" w14:textId="77777777" w:rsidTr="00050580">
        <w:trPr>
          <w:trHeight w:val="144"/>
        </w:trPr>
        <w:tc>
          <w:tcPr>
            <w:tcW w:w="4500" w:type="dxa"/>
            <w:shd w:val="clear" w:color="auto" w:fill="auto"/>
            <w:noWrap/>
            <w:vAlign w:val="bottom"/>
            <w:hideMark/>
          </w:tcPr>
          <w:p w14:paraId="2949B418"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Online activity</w:t>
            </w:r>
          </w:p>
        </w:tc>
        <w:tc>
          <w:tcPr>
            <w:tcW w:w="770" w:type="dxa"/>
            <w:shd w:val="clear" w:color="auto" w:fill="auto"/>
            <w:noWrap/>
            <w:vAlign w:val="bottom"/>
            <w:hideMark/>
          </w:tcPr>
          <w:p w14:paraId="0B8ED36A"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0151430F" w14:textId="77777777" w:rsidR="00BD4D02" w:rsidRPr="00BD4D02" w:rsidRDefault="00BD4D02" w:rsidP="00BD4D02">
            <w:pPr>
              <w:rPr>
                <w:sz w:val="20"/>
                <w:szCs w:val="20"/>
              </w:rPr>
            </w:pPr>
          </w:p>
        </w:tc>
        <w:tc>
          <w:tcPr>
            <w:tcW w:w="663" w:type="dxa"/>
            <w:shd w:val="clear" w:color="auto" w:fill="auto"/>
            <w:noWrap/>
            <w:vAlign w:val="bottom"/>
            <w:hideMark/>
          </w:tcPr>
          <w:p w14:paraId="258636BF" w14:textId="77777777" w:rsidR="00BD4D02" w:rsidRPr="00BD4D02" w:rsidRDefault="00BD4D02" w:rsidP="00BD4D02">
            <w:pPr>
              <w:rPr>
                <w:sz w:val="20"/>
                <w:szCs w:val="20"/>
              </w:rPr>
            </w:pPr>
          </w:p>
        </w:tc>
        <w:tc>
          <w:tcPr>
            <w:tcW w:w="663" w:type="dxa"/>
            <w:shd w:val="clear" w:color="auto" w:fill="auto"/>
            <w:noWrap/>
            <w:vAlign w:val="bottom"/>
            <w:hideMark/>
          </w:tcPr>
          <w:p w14:paraId="28EEFBE1" w14:textId="77777777" w:rsidR="00BD4D02" w:rsidRPr="00BD4D02" w:rsidRDefault="00BD4D02" w:rsidP="00BD4D02">
            <w:pPr>
              <w:rPr>
                <w:sz w:val="20"/>
                <w:szCs w:val="20"/>
              </w:rPr>
            </w:pPr>
          </w:p>
        </w:tc>
        <w:tc>
          <w:tcPr>
            <w:tcW w:w="663" w:type="dxa"/>
            <w:shd w:val="clear" w:color="auto" w:fill="auto"/>
            <w:noWrap/>
            <w:vAlign w:val="bottom"/>
            <w:hideMark/>
          </w:tcPr>
          <w:p w14:paraId="7341B872" w14:textId="77777777" w:rsidR="00BD4D02" w:rsidRPr="00BD4D02" w:rsidRDefault="00BD4D02" w:rsidP="00BD4D02">
            <w:pPr>
              <w:rPr>
                <w:sz w:val="20"/>
                <w:szCs w:val="20"/>
              </w:rPr>
            </w:pPr>
          </w:p>
        </w:tc>
        <w:tc>
          <w:tcPr>
            <w:tcW w:w="663" w:type="dxa"/>
            <w:shd w:val="clear" w:color="auto" w:fill="auto"/>
            <w:noWrap/>
            <w:vAlign w:val="bottom"/>
            <w:hideMark/>
          </w:tcPr>
          <w:p w14:paraId="3B4DDD78"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w:t>
            </w:r>
          </w:p>
        </w:tc>
        <w:tc>
          <w:tcPr>
            <w:tcW w:w="663" w:type="dxa"/>
            <w:shd w:val="clear" w:color="auto" w:fill="auto"/>
            <w:noWrap/>
            <w:vAlign w:val="bottom"/>
            <w:hideMark/>
          </w:tcPr>
          <w:p w14:paraId="353623FA"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790F106C" w14:textId="77777777" w:rsidR="00BD4D02" w:rsidRPr="00BD4D02" w:rsidRDefault="00BD4D02" w:rsidP="00BD4D02">
            <w:pPr>
              <w:rPr>
                <w:sz w:val="20"/>
                <w:szCs w:val="20"/>
              </w:rPr>
            </w:pPr>
          </w:p>
        </w:tc>
        <w:tc>
          <w:tcPr>
            <w:tcW w:w="663" w:type="dxa"/>
            <w:shd w:val="clear" w:color="auto" w:fill="auto"/>
            <w:noWrap/>
            <w:vAlign w:val="bottom"/>
            <w:hideMark/>
          </w:tcPr>
          <w:p w14:paraId="51F600EF"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658EBAD9"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2FA2F17F" w14:textId="77777777" w:rsidR="00BD4D02" w:rsidRPr="00BD4D02" w:rsidRDefault="00BD4D02" w:rsidP="00BD4D02">
            <w:pPr>
              <w:rPr>
                <w:sz w:val="20"/>
                <w:szCs w:val="20"/>
              </w:rPr>
            </w:pPr>
          </w:p>
        </w:tc>
        <w:tc>
          <w:tcPr>
            <w:tcW w:w="663" w:type="dxa"/>
            <w:shd w:val="clear" w:color="auto" w:fill="auto"/>
            <w:noWrap/>
            <w:vAlign w:val="bottom"/>
            <w:hideMark/>
          </w:tcPr>
          <w:p w14:paraId="191766BD" w14:textId="77777777" w:rsidR="00BD4D02" w:rsidRPr="00BD4D02" w:rsidRDefault="00BD4D02" w:rsidP="00BD4D02">
            <w:pPr>
              <w:rPr>
                <w:sz w:val="20"/>
                <w:szCs w:val="20"/>
              </w:rPr>
            </w:pPr>
          </w:p>
        </w:tc>
        <w:tc>
          <w:tcPr>
            <w:tcW w:w="1180" w:type="dxa"/>
            <w:shd w:val="clear" w:color="auto" w:fill="auto"/>
            <w:noWrap/>
            <w:vAlign w:val="bottom"/>
            <w:hideMark/>
          </w:tcPr>
          <w:p w14:paraId="31CD0CB8"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4</w:t>
            </w:r>
          </w:p>
        </w:tc>
      </w:tr>
      <w:tr w:rsidR="00BD4D02" w:rsidRPr="00BD4D02" w14:paraId="4198CFE9" w14:textId="77777777" w:rsidTr="00050580">
        <w:trPr>
          <w:trHeight w:val="144"/>
        </w:trPr>
        <w:tc>
          <w:tcPr>
            <w:tcW w:w="4500" w:type="dxa"/>
            <w:shd w:val="clear" w:color="auto" w:fill="auto"/>
            <w:noWrap/>
            <w:vAlign w:val="bottom"/>
            <w:hideMark/>
          </w:tcPr>
          <w:p w14:paraId="6799402D"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Tuning hours/share</w:t>
            </w:r>
          </w:p>
        </w:tc>
        <w:tc>
          <w:tcPr>
            <w:tcW w:w="770" w:type="dxa"/>
            <w:shd w:val="clear" w:color="auto" w:fill="auto"/>
            <w:noWrap/>
            <w:vAlign w:val="bottom"/>
            <w:hideMark/>
          </w:tcPr>
          <w:p w14:paraId="7D3FF435"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19888ABE" w14:textId="77777777" w:rsidR="00BD4D02" w:rsidRPr="00BD4D02" w:rsidRDefault="00BD4D02" w:rsidP="00BD4D02">
            <w:pPr>
              <w:rPr>
                <w:sz w:val="20"/>
                <w:szCs w:val="20"/>
              </w:rPr>
            </w:pPr>
          </w:p>
        </w:tc>
        <w:tc>
          <w:tcPr>
            <w:tcW w:w="663" w:type="dxa"/>
            <w:shd w:val="clear" w:color="auto" w:fill="auto"/>
            <w:noWrap/>
            <w:vAlign w:val="bottom"/>
            <w:hideMark/>
          </w:tcPr>
          <w:p w14:paraId="263F6DAC" w14:textId="77777777" w:rsidR="00BD4D02" w:rsidRPr="00BD4D02" w:rsidRDefault="00BD4D02" w:rsidP="00BD4D02">
            <w:pPr>
              <w:rPr>
                <w:sz w:val="20"/>
                <w:szCs w:val="20"/>
              </w:rPr>
            </w:pPr>
          </w:p>
        </w:tc>
        <w:tc>
          <w:tcPr>
            <w:tcW w:w="663" w:type="dxa"/>
            <w:shd w:val="clear" w:color="auto" w:fill="auto"/>
            <w:noWrap/>
            <w:vAlign w:val="bottom"/>
            <w:hideMark/>
          </w:tcPr>
          <w:p w14:paraId="6A5F205F" w14:textId="77777777" w:rsidR="00BD4D02" w:rsidRPr="00BD4D02" w:rsidRDefault="00BD4D02" w:rsidP="00BD4D02">
            <w:pPr>
              <w:rPr>
                <w:sz w:val="20"/>
                <w:szCs w:val="20"/>
              </w:rPr>
            </w:pPr>
          </w:p>
        </w:tc>
        <w:tc>
          <w:tcPr>
            <w:tcW w:w="663" w:type="dxa"/>
            <w:shd w:val="clear" w:color="auto" w:fill="auto"/>
            <w:noWrap/>
            <w:vAlign w:val="bottom"/>
            <w:hideMark/>
          </w:tcPr>
          <w:p w14:paraId="5E69C1E3" w14:textId="77777777" w:rsidR="00BD4D02" w:rsidRPr="00BD4D02" w:rsidRDefault="00BD4D02" w:rsidP="00BD4D02">
            <w:pPr>
              <w:rPr>
                <w:sz w:val="20"/>
                <w:szCs w:val="20"/>
              </w:rPr>
            </w:pPr>
          </w:p>
        </w:tc>
        <w:tc>
          <w:tcPr>
            <w:tcW w:w="663" w:type="dxa"/>
            <w:shd w:val="clear" w:color="auto" w:fill="auto"/>
            <w:noWrap/>
            <w:vAlign w:val="bottom"/>
            <w:hideMark/>
          </w:tcPr>
          <w:p w14:paraId="1A401874"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27F6DEB4"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44CA5A96" w14:textId="77777777" w:rsidR="00BD4D02" w:rsidRPr="00BD4D02" w:rsidRDefault="00BD4D02" w:rsidP="00BD4D02">
            <w:pPr>
              <w:rPr>
                <w:sz w:val="20"/>
                <w:szCs w:val="20"/>
              </w:rPr>
            </w:pPr>
          </w:p>
        </w:tc>
        <w:tc>
          <w:tcPr>
            <w:tcW w:w="663" w:type="dxa"/>
            <w:shd w:val="clear" w:color="auto" w:fill="auto"/>
            <w:noWrap/>
            <w:vAlign w:val="bottom"/>
            <w:hideMark/>
          </w:tcPr>
          <w:p w14:paraId="2201F300" w14:textId="77777777" w:rsidR="00BD4D02" w:rsidRPr="00BD4D02" w:rsidRDefault="00BD4D02" w:rsidP="00BD4D02">
            <w:pPr>
              <w:rPr>
                <w:sz w:val="20"/>
                <w:szCs w:val="20"/>
              </w:rPr>
            </w:pPr>
          </w:p>
        </w:tc>
        <w:tc>
          <w:tcPr>
            <w:tcW w:w="663" w:type="dxa"/>
            <w:shd w:val="clear" w:color="auto" w:fill="auto"/>
            <w:noWrap/>
            <w:vAlign w:val="bottom"/>
            <w:hideMark/>
          </w:tcPr>
          <w:p w14:paraId="3FD41DEB" w14:textId="77777777" w:rsidR="00BD4D02" w:rsidRPr="00BD4D02" w:rsidRDefault="00BD4D02" w:rsidP="00BD4D02">
            <w:pPr>
              <w:rPr>
                <w:sz w:val="20"/>
                <w:szCs w:val="20"/>
              </w:rPr>
            </w:pPr>
          </w:p>
        </w:tc>
        <w:tc>
          <w:tcPr>
            <w:tcW w:w="663" w:type="dxa"/>
            <w:shd w:val="clear" w:color="auto" w:fill="auto"/>
            <w:noWrap/>
            <w:vAlign w:val="bottom"/>
            <w:hideMark/>
          </w:tcPr>
          <w:p w14:paraId="478C8ED2" w14:textId="77777777" w:rsidR="00BD4D02" w:rsidRPr="00BD4D02" w:rsidRDefault="00BD4D02" w:rsidP="00BD4D02">
            <w:pPr>
              <w:rPr>
                <w:sz w:val="20"/>
                <w:szCs w:val="20"/>
              </w:rPr>
            </w:pPr>
          </w:p>
        </w:tc>
        <w:tc>
          <w:tcPr>
            <w:tcW w:w="663" w:type="dxa"/>
            <w:shd w:val="clear" w:color="auto" w:fill="auto"/>
            <w:noWrap/>
            <w:vAlign w:val="bottom"/>
            <w:hideMark/>
          </w:tcPr>
          <w:p w14:paraId="764FEEF2" w14:textId="77777777" w:rsidR="00BD4D02" w:rsidRPr="00BD4D02" w:rsidRDefault="00BD4D02" w:rsidP="00BD4D02">
            <w:pPr>
              <w:rPr>
                <w:sz w:val="20"/>
                <w:szCs w:val="20"/>
              </w:rPr>
            </w:pPr>
          </w:p>
        </w:tc>
        <w:tc>
          <w:tcPr>
            <w:tcW w:w="1180" w:type="dxa"/>
            <w:shd w:val="clear" w:color="auto" w:fill="auto"/>
            <w:noWrap/>
            <w:vAlign w:val="bottom"/>
            <w:hideMark/>
          </w:tcPr>
          <w:p w14:paraId="738E9FE3"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193B03DC" w14:textId="77777777" w:rsidTr="00050580">
        <w:trPr>
          <w:trHeight w:val="144"/>
        </w:trPr>
        <w:tc>
          <w:tcPr>
            <w:tcW w:w="4500" w:type="dxa"/>
            <w:shd w:val="clear" w:color="auto" w:fill="auto"/>
            <w:noWrap/>
            <w:vAlign w:val="bottom"/>
            <w:hideMark/>
          </w:tcPr>
          <w:p w14:paraId="1E6CEEA5"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Viewing hours/share</w:t>
            </w:r>
          </w:p>
        </w:tc>
        <w:tc>
          <w:tcPr>
            <w:tcW w:w="770" w:type="dxa"/>
            <w:shd w:val="clear" w:color="auto" w:fill="auto"/>
            <w:noWrap/>
            <w:vAlign w:val="bottom"/>
            <w:hideMark/>
          </w:tcPr>
          <w:p w14:paraId="540BF0FA"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69289A22" w14:textId="77777777" w:rsidR="00BD4D02" w:rsidRPr="00BD4D02" w:rsidRDefault="00BD4D02" w:rsidP="00BD4D02">
            <w:pPr>
              <w:rPr>
                <w:sz w:val="20"/>
                <w:szCs w:val="20"/>
              </w:rPr>
            </w:pPr>
          </w:p>
        </w:tc>
        <w:tc>
          <w:tcPr>
            <w:tcW w:w="663" w:type="dxa"/>
            <w:shd w:val="clear" w:color="auto" w:fill="auto"/>
            <w:noWrap/>
            <w:vAlign w:val="bottom"/>
            <w:hideMark/>
          </w:tcPr>
          <w:p w14:paraId="55ADF918" w14:textId="77777777" w:rsidR="00BD4D02" w:rsidRPr="00BD4D02" w:rsidRDefault="00BD4D02" w:rsidP="00BD4D02">
            <w:pPr>
              <w:rPr>
                <w:sz w:val="20"/>
                <w:szCs w:val="20"/>
              </w:rPr>
            </w:pPr>
          </w:p>
        </w:tc>
        <w:tc>
          <w:tcPr>
            <w:tcW w:w="663" w:type="dxa"/>
            <w:shd w:val="clear" w:color="auto" w:fill="auto"/>
            <w:noWrap/>
            <w:vAlign w:val="bottom"/>
            <w:hideMark/>
          </w:tcPr>
          <w:p w14:paraId="0E39F965" w14:textId="77777777" w:rsidR="00BD4D02" w:rsidRPr="00BD4D02" w:rsidRDefault="00BD4D02" w:rsidP="00BD4D02">
            <w:pPr>
              <w:rPr>
                <w:sz w:val="20"/>
                <w:szCs w:val="20"/>
              </w:rPr>
            </w:pPr>
          </w:p>
        </w:tc>
        <w:tc>
          <w:tcPr>
            <w:tcW w:w="663" w:type="dxa"/>
            <w:shd w:val="clear" w:color="auto" w:fill="auto"/>
            <w:noWrap/>
            <w:vAlign w:val="bottom"/>
            <w:hideMark/>
          </w:tcPr>
          <w:p w14:paraId="61214BD7" w14:textId="77777777" w:rsidR="00BD4D02" w:rsidRPr="00BD4D02" w:rsidRDefault="00BD4D02" w:rsidP="00BD4D02">
            <w:pPr>
              <w:rPr>
                <w:sz w:val="20"/>
                <w:szCs w:val="20"/>
              </w:rPr>
            </w:pPr>
          </w:p>
        </w:tc>
        <w:tc>
          <w:tcPr>
            <w:tcW w:w="663" w:type="dxa"/>
            <w:shd w:val="clear" w:color="auto" w:fill="auto"/>
            <w:noWrap/>
            <w:vAlign w:val="bottom"/>
            <w:hideMark/>
          </w:tcPr>
          <w:p w14:paraId="5567612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7A0609A6"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54AD1D44" w14:textId="77777777" w:rsidR="00BD4D02" w:rsidRPr="00BD4D02" w:rsidRDefault="00BD4D02" w:rsidP="00BD4D02">
            <w:pPr>
              <w:rPr>
                <w:sz w:val="20"/>
                <w:szCs w:val="20"/>
              </w:rPr>
            </w:pPr>
          </w:p>
        </w:tc>
        <w:tc>
          <w:tcPr>
            <w:tcW w:w="663" w:type="dxa"/>
            <w:shd w:val="clear" w:color="auto" w:fill="auto"/>
            <w:noWrap/>
            <w:vAlign w:val="bottom"/>
            <w:hideMark/>
          </w:tcPr>
          <w:p w14:paraId="10488C34" w14:textId="77777777" w:rsidR="00BD4D02" w:rsidRPr="00BD4D02" w:rsidRDefault="00BD4D02" w:rsidP="00BD4D02">
            <w:pPr>
              <w:rPr>
                <w:sz w:val="20"/>
                <w:szCs w:val="20"/>
              </w:rPr>
            </w:pPr>
          </w:p>
        </w:tc>
        <w:tc>
          <w:tcPr>
            <w:tcW w:w="663" w:type="dxa"/>
            <w:shd w:val="clear" w:color="auto" w:fill="auto"/>
            <w:noWrap/>
            <w:vAlign w:val="bottom"/>
            <w:hideMark/>
          </w:tcPr>
          <w:p w14:paraId="4A3759D7" w14:textId="77777777" w:rsidR="00BD4D02" w:rsidRPr="00BD4D02" w:rsidRDefault="00BD4D02" w:rsidP="00BD4D02">
            <w:pPr>
              <w:rPr>
                <w:sz w:val="20"/>
                <w:szCs w:val="20"/>
              </w:rPr>
            </w:pPr>
          </w:p>
        </w:tc>
        <w:tc>
          <w:tcPr>
            <w:tcW w:w="663" w:type="dxa"/>
            <w:shd w:val="clear" w:color="auto" w:fill="auto"/>
            <w:noWrap/>
            <w:vAlign w:val="bottom"/>
            <w:hideMark/>
          </w:tcPr>
          <w:p w14:paraId="487E7ABA" w14:textId="77777777" w:rsidR="00BD4D02" w:rsidRPr="00BD4D02" w:rsidRDefault="00BD4D02" w:rsidP="00BD4D02">
            <w:pPr>
              <w:rPr>
                <w:sz w:val="20"/>
                <w:szCs w:val="20"/>
              </w:rPr>
            </w:pPr>
          </w:p>
        </w:tc>
        <w:tc>
          <w:tcPr>
            <w:tcW w:w="663" w:type="dxa"/>
            <w:shd w:val="clear" w:color="auto" w:fill="auto"/>
            <w:noWrap/>
            <w:vAlign w:val="bottom"/>
            <w:hideMark/>
          </w:tcPr>
          <w:p w14:paraId="37370172" w14:textId="77777777" w:rsidR="00BD4D02" w:rsidRPr="00BD4D02" w:rsidRDefault="00BD4D02" w:rsidP="00BD4D02">
            <w:pPr>
              <w:rPr>
                <w:sz w:val="20"/>
                <w:szCs w:val="20"/>
              </w:rPr>
            </w:pPr>
          </w:p>
        </w:tc>
        <w:tc>
          <w:tcPr>
            <w:tcW w:w="1180" w:type="dxa"/>
            <w:shd w:val="clear" w:color="auto" w:fill="auto"/>
            <w:noWrap/>
            <w:vAlign w:val="bottom"/>
            <w:hideMark/>
          </w:tcPr>
          <w:p w14:paraId="543F3E04"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r>
      <w:tr w:rsidR="00BD4D02" w:rsidRPr="00BD4D02" w14:paraId="0E9701E9" w14:textId="77777777" w:rsidTr="00050580">
        <w:trPr>
          <w:trHeight w:val="144"/>
        </w:trPr>
        <w:tc>
          <w:tcPr>
            <w:tcW w:w="4500" w:type="dxa"/>
            <w:shd w:val="clear" w:color="auto" w:fill="auto"/>
            <w:noWrap/>
            <w:vAlign w:val="bottom"/>
            <w:hideMark/>
          </w:tcPr>
          <w:p w14:paraId="080FD1B0" w14:textId="77777777" w:rsidR="00BD4D02" w:rsidRPr="00BD4D02" w:rsidRDefault="00BD4D02" w:rsidP="00BD4D02">
            <w:pPr>
              <w:ind w:firstLineChars="100" w:firstLine="201"/>
              <w:rPr>
                <w:rFonts w:ascii="Calibri" w:hAnsi="Calibri" w:cs="Calibri"/>
                <w:b/>
                <w:bCs/>
                <w:color w:val="000000"/>
                <w:sz w:val="20"/>
                <w:szCs w:val="20"/>
              </w:rPr>
            </w:pPr>
            <w:r w:rsidRPr="00BD4D02">
              <w:rPr>
                <w:rFonts w:ascii="Calibri" w:hAnsi="Calibri" w:cs="Calibri"/>
                <w:b/>
                <w:bCs/>
                <w:color w:val="000000"/>
                <w:sz w:val="20"/>
                <w:szCs w:val="20"/>
              </w:rPr>
              <w:t>Affordability</w:t>
            </w:r>
          </w:p>
        </w:tc>
        <w:tc>
          <w:tcPr>
            <w:tcW w:w="770" w:type="dxa"/>
            <w:shd w:val="clear" w:color="auto" w:fill="auto"/>
            <w:noWrap/>
            <w:vAlign w:val="bottom"/>
            <w:hideMark/>
          </w:tcPr>
          <w:p w14:paraId="61EBFA58"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4</w:t>
            </w:r>
          </w:p>
        </w:tc>
        <w:tc>
          <w:tcPr>
            <w:tcW w:w="663" w:type="dxa"/>
            <w:shd w:val="clear" w:color="auto" w:fill="auto"/>
            <w:noWrap/>
            <w:vAlign w:val="bottom"/>
            <w:hideMark/>
          </w:tcPr>
          <w:p w14:paraId="34EFDEA8"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3</w:t>
            </w:r>
          </w:p>
        </w:tc>
        <w:tc>
          <w:tcPr>
            <w:tcW w:w="663" w:type="dxa"/>
            <w:shd w:val="clear" w:color="auto" w:fill="auto"/>
            <w:noWrap/>
            <w:vAlign w:val="bottom"/>
            <w:hideMark/>
          </w:tcPr>
          <w:p w14:paraId="713DA0F4"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2</w:t>
            </w:r>
          </w:p>
        </w:tc>
        <w:tc>
          <w:tcPr>
            <w:tcW w:w="663" w:type="dxa"/>
            <w:shd w:val="clear" w:color="auto" w:fill="auto"/>
            <w:noWrap/>
            <w:vAlign w:val="bottom"/>
            <w:hideMark/>
          </w:tcPr>
          <w:p w14:paraId="6454AD3F"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2</w:t>
            </w:r>
          </w:p>
        </w:tc>
        <w:tc>
          <w:tcPr>
            <w:tcW w:w="663" w:type="dxa"/>
            <w:shd w:val="clear" w:color="auto" w:fill="auto"/>
            <w:noWrap/>
            <w:vAlign w:val="bottom"/>
            <w:hideMark/>
          </w:tcPr>
          <w:p w14:paraId="1F87266D"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2</w:t>
            </w:r>
          </w:p>
        </w:tc>
        <w:tc>
          <w:tcPr>
            <w:tcW w:w="663" w:type="dxa"/>
            <w:shd w:val="clear" w:color="auto" w:fill="auto"/>
            <w:noWrap/>
            <w:vAlign w:val="bottom"/>
            <w:hideMark/>
          </w:tcPr>
          <w:p w14:paraId="1ED9E397"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4</w:t>
            </w:r>
          </w:p>
        </w:tc>
        <w:tc>
          <w:tcPr>
            <w:tcW w:w="663" w:type="dxa"/>
            <w:shd w:val="clear" w:color="auto" w:fill="auto"/>
            <w:noWrap/>
            <w:vAlign w:val="bottom"/>
            <w:hideMark/>
          </w:tcPr>
          <w:p w14:paraId="27FCCFFB"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14</w:t>
            </w:r>
          </w:p>
        </w:tc>
        <w:tc>
          <w:tcPr>
            <w:tcW w:w="663" w:type="dxa"/>
            <w:shd w:val="clear" w:color="auto" w:fill="auto"/>
            <w:noWrap/>
            <w:vAlign w:val="bottom"/>
            <w:hideMark/>
          </w:tcPr>
          <w:p w14:paraId="28C38589"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13</w:t>
            </w:r>
          </w:p>
        </w:tc>
        <w:tc>
          <w:tcPr>
            <w:tcW w:w="663" w:type="dxa"/>
            <w:shd w:val="clear" w:color="auto" w:fill="auto"/>
            <w:noWrap/>
            <w:vAlign w:val="bottom"/>
            <w:hideMark/>
          </w:tcPr>
          <w:p w14:paraId="6FE698D5"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15</w:t>
            </w:r>
          </w:p>
        </w:tc>
        <w:tc>
          <w:tcPr>
            <w:tcW w:w="663" w:type="dxa"/>
            <w:shd w:val="clear" w:color="auto" w:fill="auto"/>
            <w:noWrap/>
            <w:vAlign w:val="bottom"/>
            <w:hideMark/>
          </w:tcPr>
          <w:p w14:paraId="7C8208D4"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25</w:t>
            </w:r>
          </w:p>
        </w:tc>
        <w:tc>
          <w:tcPr>
            <w:tcW w:w="663" w:type="dxa"/>
            <w:shd w:val="clear" w:color="auto" w:fill="auto"/>
            <w:noWrap/>
            <w:vAlign w:val="bottom"/>
            <w:hideMark/>
          </w:tcPr>
          <w:p w14:paraId="2399AB1F"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10</w:t>
            </w:r>
          </w:p>
        </w:tc>
        <w:tc>
          <w:tcPr>
            <w:tcW w:w="663" w:type="dxa"/>
            <w:shd w:val="clear" w:color="auto" w:fill="auto"/>
            <w:noWrap/>
            <w:vAlign w:val="bottom"/>
            <w:hideMark/>
          </w:tcPr>
          <w:p w14:paraId="594692B6"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21</w:t>
            </w:r>
          </w:p>
        </w:tc>
        <w:tc>
          <w:tcPr>
            <w:tcW w:w="1180" w:type="dxa"/>
            <w:shd w:val="clear" w:color="auto" w:fill="auto"/>
            <w:noWrap/>
            <w:vAlign w:val="bottom"/>
            <w:hideMark/>
          </w:tcPr>
          <w:p w14:paraId="037730C7"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115</w:t>
            </w:r>
          </w:p>
        </w:tc>
      </w:tr>
      <w:tr w:rsidR="00BD4D02" w:rsidRPr="00BD4D02" w14:paraId="31A717C9" w14:textId="77777777" w:rsidTr="00050580">
        <w:trPr>
          <w:trHeight w:val="144"/>
        </w:trPr>
        <w:tc>
          <w:tcPr>
            <w:tcW w:w="4500" w:type="dxa"/>
            <w:shd w:val="clear" w:color="auto" w:fill="auto"/>
            <w:noWrap/>
            <w:vAlign w:val="bottom"/>
            <w:hideMark/>
          </w:tcPr>
          <w:p w14:paraId="52310349"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Broadband, wireline, wireless</w:t>
            </w:r>
          </w:p>
        </w:tc>
        <w:tc>
          <w:tcPr>
            <w:tcW w:w="770" w:type="dxa"/>
            <w:shd w:val="clear" w:color="auto" w:fill="auto"/>
            <w:noWrap/>
            <w:vAlign w:val="bottom"/>
            <w:hideMark/>
          </w:tcPr>
          <w:p w14:paraId="3D57F7D6"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72CBB14B" w14:textId="77777777" w:rsidR="00BD4D02" w:rsidRPr="00BD4D02" w:rsidRDefault="00BD4D02" w:rsidP="00BD4D02">
            <w:pPr>
              <w:rPr>
                <w:sz w:val="20"/>
                <w:szCs w:val="20"/>
              </w:rPr>
            </w:pPr>
          </w:p>
        </w:tc>
        <w:tc>
          <w:tcPr>
            <w:tcW w:w="663" w:type="dxa"/>
            <w:shd w:val="clear" w:color="auto" w:fill="auto"/>
            <w:noWrap/>
            <w:vAlign w:val="bottom"/>
            <w:hideMark/>
          </w:tcPr>
          <w:p w14:paraId="0B5D8150" w14:textId="77777777" w:rsidR="00BD4D02" w:rsidRPr="00BD4D02" w:rsidRDefault="00BD4D02" w:rsidP="00BD4D02">
            <w:pPr>
              <w:rPr>
                <w:sz w:val="20"/>
                <w:szCs w:val="20"/>
              </w:rPr>
            </w:pPr>
          </w:p>
        </w:tc>
        <w:tc>
          <w:tcPr>
            <w:tcW w:w="663" w:type="dxa"/>
            <w:shd w:val="clear" w:color="auto" w:fill="auto"/>
            <w:noWrap/>
            <w:vAlign w:val="bottom"/>
            <w:hideMark/>
          </w:tcPr>
          <w:p w14:paraId="1D367F4E" w14:textId="77777777" w:rsidR="00BD4D02" w:rsidRPr="00BD4D02" w:rsidRDefault="00BD4D02" w:rsidP="00BD4D02">
            <w:pPr>
              <w:rPr>
                <w:sz w:val="20"/>
                <w:szCs w:val="20"/>
              </w:rPr>
            </w:pPr>
          </w:p>
        </w:tc>
        <w:tc>
          <w:tcPr>
            <w:tcW w:w="663" w:type="dxa"/>
            <w:shd w:val="clear" w:color="auto" w:fill="auto"/>
            <w:noWrap/>
            <w:vAlign w:val="bottom"/>
            <w:hideMark/>
          </w:tcPr>
          <w:p w14:paraId="4EBE9160" w14:textId="77777777" w:rsidR="00BD4D02" w:rsidRPr="00BD4D02" w:rsidRDefault="00BD4D02" w:rsidP="00BD4D02">
            <w:pPr>
              <w:rPr>
                <w:sz w:val="20"/>
                <w:szCs w:val="20"/>
              </w:rPr>
            </w:pPr>
          </w:p>
        </w:tc>
        <w:tc>
          <w:tcPr>
            <w:tcW w:w="663" w:type="dxa"/>
            <w:shd w:val="clear" w:color="auto" w:fill="auto"/>
            <w:noWrap/>
            <w:vAlign w:val="bottom"/>
            <w:hideMark/>
          </w:tcPr>
          <w:p w14:paraId="7FDBF8FF" w14:textId="77777777" w:rsidR="00BD4D02" w:rsidRPr="00BD4D02" w:rsidRDefault="00BD4D02" w:rsidP="00BD4D02">
            <w:pPr>
              <w:rPr>
                <w:sz w:val="20"/>
                <w:szCs w:val="20"/>
              </w:rPr>
            </w:pPr>
          </w:p>
        </w:tc>
        <w:tc>
          <w:tcPr>
            <w:tcW w:w="663" w:type="dxa"/>
            <w:shd w:val="clear" w:color="auto" w:fill="auto"/>
            <w:noWrap/>
            <w:vAlign w:val="bottom"/>
            <w:hideMark/>
          </w:tcPr>
          <w:p w14:paraId="34EC48C5" w14:textId="77777777" w:rsidR="00BD4D02" w:rsidRPr="00BD4D02" w:rsidRDefault="00BD4D02" w:rsidP="00BD4D02">
            <w:pPr>
              <w:rPr>
                <w:sz w:val="20"/>
                <w:szCs w:val="20"/>
              </w:rPr>
            </w:pPr>
          </w:p>
        </w:tc>
        <w:tc>
          <w:tcPr>
            <w:tcW w:w="663" w:type="dxa"/>
            <w:shd w:val="clear" w:color="auto" w:fill="auto"/>
            <w:noWrap/>
            <w:vAlign w:val="bottom"/>
            <w:hideMark/>
          </w:tcPr>
          <w:p w14:paraId="67B08A67" w14:textId="77777777" w:rsidR="00BD4D02" w:rsidRPr="00BD4D02" w:rsidRDefault="00BD4D02" w:rsidP="00BD4D02">
            <w:pPr>
              <w:rPr>
                <w:sz w:val="20"/>
                <w:szCs w:val="20"/>
              </w:rPr>
            </w:pPr>
          </w:p>
        </w:tc>
        <w:tc>
          <w:tcPr>
            <w:tcW w:w="663" w:type="dxa"/>
            <w:shd w:val="clear" w:color="auto" w:fill="auto"/>
            <w:noWrap/>
            <w:vAlign w:val="bottom"/>
            <w:hideMark/>
          </w:tcPr>
          <w:p w14:paraId="7ABA6D47"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5CFF3128"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450DA8D1"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3812393C" w14:textId="77777777" w:rsidR="00BD4D02" w:rsidRPr="00BD4D02" w:rsidRDefault="00BD4D02" w:rsidP="00BD4D02">
            <w:pPr>
              <w:rPr>
                <w:sz w:val="20"/>
                <w:szCs w:val="20"/>
              </w:rPr>
            </w:pPr>
          </w:p>
        </w:tc>
        <w:tc>
          <w:tcPr>
            <w:tcW w:w="1180" w:type="dxa"/>
            <w:shd w:val="clear" w:color="auto" w:fill="auto"/>
            <w:noWrap/>
            <w:vAlign w:val="bottom"/>
            <w:hideMark/>
          </w:tcPr>
          <w:p w14:paraId="2E2A8E70"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4</w:t>
            </w:r>
          </w:p>
        </w:tc>
      </w:tr>
      <w:tr w:rsidR="00BD4D02" w:rsidRPr="00BD4D02" w14:paraId="44CCD890" w14:textId="77777777" w:rsidTr="00050580">
        <w:trPr>
          <w:trHeight w:val="144"/>
        </w:trPr>
        <w:tc>
          <w:tcPr>
            <w:tcW w:w="4500" w:type="dxa"/>
            <w:shd w:val="clear" w:color="auto" w:fill="auto"/>
            <w:noWrap/>
            <w:vAlign w:val="bottom"/>
            <w:hideMark/>
          </w:tcPr>
          <w:p w14:paraId="72483D3A"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Fair use policies - streaming</w:t>
            </w:r>
          </w:p>
        </w:tc>
        <w:tc>
          <w:tcPr>
            <w:tcW w:w="770" w:type="dxa"/>
            <w:shd w:val="clear" w:color="auto" w:fill="auto"/>
            <w:noWrap/>
            <w:vAlign w:val="bottom"/>
            <w:hideMark/>
          </w:tcPr>
          <w:p w14:paraId="5861D7A6"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3C9AE5A1" w14:textId="77777777" w:rsidR="00BD4D02" w:rsidRPr="00BD4D02" w:rsidRDefault="00BD4D02" w:rsidP="00BD4D02">
            <w:pPr>
              <w:rPr>
                <w:sz w:val="20"/>
                <w:szCs w:val="20"/>
              </w:rPr>
            </w:pPr>
          </w:p>
        </w:tc>
        <w:tc>
          <w:tcPr>
            <w:tcW w:w="663" w:type="dxa"/>
            <w:shd w:val="clear" w:color="auto" w:fill="auto"/>
            <w:noWrap/>
            <w:vAlign w:val="bottom"/>
            <w:hideMark/>
          </w:tcPr>
          <w:p w14:paraId="1D6821AA" w14:textId="77777777" w:rsidR="00BD4D02" w:rsidRPr="00BD4D02" w:rsidRDefault="00BD4D02" w:rsidP="00BD4D02">
            <w:pPr>
              <w:rPr>
                <w:sz w:val="20"/>
                <w:szCs w:val="20"/>
              </w:rPr>
            </w:pPr>
          </w:p>
        </w:tc>
        <w:tc>
          <w:tcPr>
            <w:tcW w:w="663" w:type="dxa"/>
            <w:shd w:val="clear" w:color="auto" w:fill="auto"/>
            <w:noWrap/>
            <w:vAlign w:val="bottom"/>
            <w:hideMark/>
          </w:tcPr>
          <w:p w14:paraId="3EE037DF" w14:textId="77777777" w:rsidR="00BD4D02" w:rsidRPr="00BD4D02" w:rsidRDefault="00BD4D02" w:rsidP="00BD4D02">
            <w:pPr>
              <w:rPr>
                <w:sz w:val="20"/>
                <w:szCs w:val="20"/>
              </w:rPr>
            </w:pPr>
          </w:p>
        </w:tc>
        <w:tc>
          <w:tcPr>
            <w:tcW w:w="663" w:type="dxa"/>
            <w:shd w:val="clear" w:color="auto" w:fill="auto"/>
            <w:noWrap/>
            <w:vAlign w:val="bottom"/>
            <w:hideMark/>
          </w:tcPr>
          <w:p w14:paraId="3ACC39EF" w14:textId="77777777" w:rsidR="00BD4D02" w:rsidRPr="00BD4D02" w:rsidRDefault="00BD4D02" w:rsidP="00BD4D02">
            <w:pPr>
              <w:rPr>
                <w:sz w:val="20"/>
                <w:szCs w:val="20"/>
              </w:rPr>
            </w:pPr>
          </w:p>
        </w:tc>
        <w:tc>
          <w:tcPr>
            <w:tcW w:w="663" w:type="dxa"/>
            <w:shd w:val="clear" w:color="auto" w:fill="auto"/>
            <w:noWrap/>
            <w:vAlign w:val="bottom"/>
            <w:hideMark/>
          </w:tcPr>
          <w:p w14:paraId="47D74A15" w14:textId="77777777" w:rsidR="00BD4D02" w:rsidRPr="00BD4D02" w:rsidRDefault="00BD4D02" w:rsidP="00BD4D02">
            <w:pPr>
              <w:rPr>
                <w:sz w:val="20"/>
                <w:szCs w:val="20"/>
              </w:rPr>
            </w:pPr>
          </w:p>
        </w:tc>
        <w:tc>
          <w:tcPr>
            <w:tcW w:w="663" w:type="dxa"/>
            <w:shd w:val="clear" w:color="auto" w:fill="auto"/>
            <w:noWrap/>
            <w:vAlign w:val="bottom"/>
            <w:hideMark/>
          </w:tcPr>
          <w:p w14:paraId="2941F3AD" w14:textId="77777777" w:rsidR="00BD4D02" w:rsidRPr="00BD4D02" w:rsidRDefault="00BD4D02" w:rsidP="00BD4D02">
            <w:pPr>
              <w:rPr>
                <w:sz w:val="20"/>
                <w:szCs w:val="20"/>
              </w:rPr>
            </w:pPr>
          </w:p>
        </w:tc>
        <w:tc>
          <w:tcPr>
            <w:tcW w:w="663" w:type="dxa"/>
            <w:shd w:val="clear" w:color="auto" w:fill="auto"/>
            <w:noWrap/>
            <w:vAlign w:val="bottom"/>
            <w:hideMark/>
          </w:tcPr>
          <w:p w14:paraId="622E0AD6" w14:textId="77777777" w:rsidR="00BD4D02" w:rsidRPr="00BD4D02" w:rsidRDefault="00BD4D02" w:rsidP="00BD4D02">
            <w:pPr>
              <w:rPr>
                <w:sz w:val="20"/>
                <w:szCs w:val="20"/>
              </w:rPr>
            </w:pPr>
          </w:p>
        </w:tc>
        <w:tc>
          <w:tcPr>
            <w:tcW w:w="663" w:type="dxa"/>
            <w:shd w:val="clear" w:color="auto" w:fill="auto"/>
            <w:noWrap/>
            <w:vAlign w:val="bottom"/>
            <w:hideMark/>
          </w:tcPr>
          <w:p w14:paraId="1B62AF87" w14:textId="77777777" w:rsidR="00BD4D02" w:rsidRPr="00BD4D02" w:rsidRDefault="00BD4D02" w:rsidP="00BD4D02">
            <w:pPr>
              <w:rPr>
                <w:sz w:val="20"/>
                <w:szCs w:val="20"/>
              </w:rPr>
            </w:pPr>
          </w:p>
        </w:tc>
        <w:tc>
          <w:tcPr>
            <w:tcW w:w="663" w:type="dxa"/>
            <w:shd w:val="clear" w:color="auto" w:fill="auto"/>
            <w:noWrap/>
            <w:vAlign w:val="bottom"/>
            <w:hideMark/>
          </w:tcPr>
          <w:p w14:paraId="33F48438" w14:textId="77777777" w:rsidR="00BD4D02" w:rsidRPr="00BD4D02" w:rsidRDefault="00BD4D02" w:rsidP="00BD4D02">
            <w:pPr>
              <w:rPr>
                <w:sz w:val="20"/>
                <w:szCs w:val="20"/>
              </w:rPr>
            </w:pPr>
          </w:p>
        </w:tc>
        <w:tc>
          <w:tcPr>
            <w:tcW w:w="663" w:type="dxa"/>
            <w:shd w:val="clear" w:color="auto" w:fill="auto"/>
            <w:noWrap/>
            <w:vAlign w:val="bottom"/>
            <w:hideMark/>
          </w:tcPr>
          <w:p w14:paraId="46811855"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618F535D" w14:textId="77777777" w:rsidR="00BD4D02" w:rsidRPr="00BD4D02" w:rsidRDefault="00BD4D02" w:rsidP="00BD4D02">
            <w:pPr>
              <w:jc w:val="right"/>
              <w:rPr>
                <w:rFonts w:ascii="Calibri" w:hAnsi="Calibri" w:cs="Calibri"/>
                <w:color w:val="000000"/>
                <w:sz w:val="20"/>
                <w:szCs w:val="20"/>
              </w:rPr>
            </w:pPr>
          </w:p>
        </w:tc>
        <w:tc>
          <w:tcPr>
            <w:tcW w:w="1180" w:type="dxa"/>
            <w:shd w:val="clear" w:color="auto" w:fill="auto"/>
            <w:noWrap/>
            <w:vAlign w:val="bottom"/>
            <w:hideMark/>
          </w:tcPr>
          <w:p w14:paraId="527DF27F"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68A93C80" w14:textId="77777777" w:rsidTr="00050580">
        <w:trPr>
          <w:trHeight w:val="144"/>
        </w:trPr>
        <w:tc>
          <w:tcPr>
            <w:tcW w:w="4500" w:type="dxa"/>
            <w:shd w:val="clear" w:color="auto" w:fill="auto"/>
            <w:noWrap/>
            <w:vAlign w:val="bottom"/>
            <w:hideMark/>
          </w:tcPr>
          <w:p w14:paraId="019CF1C5"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International comparison</w:t>
            </w:r>
          </w:p>
        </w:tc>
        <w:tc>
          <w:tcPr>
            <w:tcW w:w="770" w:type="dxa"/>
            <w:shd w:val="clear" w:color="auto" w:fill="auto"/>
            <w:noWrap/>
            <w:vAlign w:val="bottom"/>
            <w:hideMark/>
          </w:tcPr>
          <w:p w14:paraId="7CF3C3CA"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2EAB298D"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7765CD54"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1782F7D2"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1669E0C6"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76E0C938"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28945983"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5E3ACD48" w14:textId="77777777" w:rsidR="00BD4D02" w:rsidRPr="00BD4D02" w:rsidRDefault="00BD4D02" w:rsidP="00BD4D02">
            <w:pPr>
              <w:rPr>
                <w:sz w:val="20"/>
                <w:szCs w:val="20"/>
              </w:rPr>
            </w:pPr>
          </w:p>
        </w:tc>
        <w:tc>
          <w:tcPr>
            <w:tcW w:w="663" w:type="dxa"/>
            <w:shd w:val="clear" w:color="auto" w:fill="auto"/>
            <w:noWrap/>
            <w:vAlign w:val="bottom"/>
            <w:hideMark/>
          </w:tcPr>
          <w:p w14:paraId="10E22311" w14:textId="77777777" w:rsidR="00BD4D02" w:rsidRPr="00BD4D02" w:rsidRDefault="00BD4D02" w:rsidP="00BD4D02">
            <w:pPr>
              <w:rPr>
                <w:sz w:val="20"/>
                <w:szCs w:val="20"/>
              </w:rPr>
            </w:pPr>
          </w:p>
        </w:tc>
        <w:tc>
          <w:tcPr>
            <w:tcW w:w="663" w:type="dxa"/>
            <w:shd w:val="clear" w:color="auto" w:fill="auto"/>
            <w:noWrap/>
            <w:vAlign w:val="bottom"/>
            <w:hideMark/>
          </w:tcPr>
          <w:p w14:paraId="4E6809D5" w14:textId="77777777" w:rsidR="00BD4D02" w:rsidRPr="00BD4D02" w:rsidRDefault="00BD4D02" w:rsidP="00BD4D02">
            <w:pPr>
              <w:rPr>
                <w:sz w:val="20"/>
                <w:szCs w:val="20"/>
              </w:rPr>
            </w:pPr>
          </w:p>
        </w:tc>
        <w:tc>
          <w:tcPr>
            <w:tcW w:w="663" w:type="dxa"/>
            <w:shd w:val="clear" w:color="auto" w:fill="auto"/>
            <w:noWrap/>
            <w:vAlign w:val="bottom"/>
            <w:hideMark/>
          </w:tcPr>
          <w:p w14:paraId="084E153C" w14:textId="77777777" w:rsidR="00BD4D02" w:rsidRPr="00BD4D02" w:rsidRDefault="00BD4D02" w:rsidP="00BD4D02">
            <w:pPr>
              <w:rPr>
                <w:sz w:val="20"/>
                <w:szCs w:val="20"/>
              </w:rPr>
            </w:pPr>
          </w:p>
        </w:tc>
        <w:tc>
          <w:tcPr>
            <w:tcW w:w="663" w:type="dxa"/>
            <w:shd w:val="clear" w:color="auto" w:fill="auto"/>
            <w:noWrap/>
            <w:vAlign w:val="bottom"/>
            <w:hideMark/>
          </w:tcPr>
          <w:p w14:paraId="36916501" w14:textId="77777777" w:rsidR="00BD4D02" w:rsidRPr="00BD4D02" w:rsidRDefault="00BD4D02" w:rsidP="00BD4D02">
            <w:pPr>
              <w:rPr>
                <w:sz w:val="20"/>
                <w:szCs w:val="20"/>
              </w:rPr>
            </w:pPr>
          </w:p>
        </w:tc>
        <w:tc>
          <w:tcPr>
            <w:tcW w:w="1180" w:type="dxa"/>
            <w:shd w:val="clear" w:color="auto" w:fill="auto"/>
            <w:noWrap/>
            <w:vAlign w:val="bottom"/>
            <w:hideMark/>
          </w:tcPr>
          <w:p w14:paraId="02DCB8C6"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5</w:t>
            </w:r>
          </w:p>
        </w:tc>
      </w:tr>
      <w:tr w:rsidR="00BD4D02" w:rsidRPr="00BD4D02" w14:paraId="1840955E" w14:textId="77777777" w:rsidTr="00050580">
        <w:trPr>
          <w:trHeight w:val="144"/>
        </w:trPr>
        <w:tc>
          <w:tcPr>
            <w:tcW w:w="4500" w:type="dxa"/>
            <w:shd w:val="clear" w:color="auto" w:fill="auto"/>
            <w:noWrap/>
            <w:vAlign w:val="bottom"/>
            <w:hideMark/>
          </w:tcPr>
          <w:p w14:paraId="3F82D9A9"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 xml:space="preserve">Internet - </w:t>
            </w:r>
            <w:proofErr w:type="spellStart"/>
            <w:r w:rsidRPr="00BD4D02">
              <w:rPr>
                <w:rFonts w:ascii="Calibri" w:hAnsi="Calibri" w:cs="Calibri"/>
                <w:color w:val="000000"/>
                <w:sz w:val="20"/>
                <w:szCs w:val="20"/>
              </w:rPr>
              <w:t>residental</w:t>
            </w:r>
            <w:proofErr w:type="spellEnd"/>
            <w:r w:rsidRPr="00BD4D02">
              <w:rPr>
                <w:rFonts w:ascii="Calibri" w:hAnsi="Calibri" w:cs="Calibri"/>
                <w:color w:val="000000"/>
                <w:sz w:val="20"/>
                <w:szCs w:val="20"/>
              </w:rPr>
              <w:t xml:space="preserve"> - speed - pricing</w:t>
            </w:r>
          </w:p>
        </w:tc>
        <w:tc>
          <w:tcPr>
            <w:tcW w:w="770" w:type="dxa"/>
            <w:shd w:val="clear" w:color="auto" w:fill="auto"/>
            <w:noWrap/>
            <w:vAlign w:val="bottom"/>
            <w:hideMark/>
          </w:tcPr>
          <w:p w14:paraId="19E50D1A"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033456B8" w14:textId="77777777" w:rsidR="00BD4D02" w:rsidRPr="00BD4D02" w:rsidRDefault="00BD4D02" w:rsidP="00BD4D02">
            <w:pPr>
              <w:rPr>
                <w:sz w:val="20"/>
                <w:szCs w:val="20"/>
              </w:rPr>
            </w:pPr>
          </w:p>
        </w:tc>
        <w:tc>
          <w:tcPr>
            <w:tcW w:w="663" w:type="dxa"/>
            <w:shd w:val="clear" w:color="auto" w:fill="auto"/>
            <w:noWrap/>
            <w:vAlign w:val="bottom"/>
            <w:hideMark/>
          </w:tcPr>
          <w:p w14:paraId="09EF9422" w14:textId="77777777" w:rsidR="00BD4D02" w:rsidRPr="00BD4D02" w:rsidRDefault="00BD4D02" w:rsidP="00BD4D02">
            <w:pPr>
              <w:rPr>
                <w:sz w:val="20"/>
                <w:szCs w:val="20"/>
              </w:rPr>
            </w:pPr>
          </w:p>
        </w:tc>
        <w:tc>
          <w:tcPr>
            <w:tcW w:w="663" w:type="dxa"/>
            <w:shd w:val="clear" w:color="auto" w:fill="auto"/>
            <w:noWrap/>
            <w:vAlign w:val="bottom"/>
            <w:hideMark/>
          </w:tcPr>
          <w:p w14:paraId="4712942D" w14:textId="77777777" w:rsidR="00BD4D02" w:rsidRPr="00BD4D02" w:rsidRDefault="00BD4D02" w:rsidP="00BD4D02">
            <w:pPr>
              <w:rPr>
                <w:sz w:val="20"/>
                <w:szCs w:val="20"/>
              </w:rPr>
            </w:pPr>
          </w:p>
        </w:tc>
        <w:tc>
          <w:tcPr>
            <w:tcW w:w="663" w:type="dxa"/>
            <w:shd w:val="clear" w:color="auto" w:fill="auto"/>
            <w:noWrap/>
            <w:vAlign w:val="bottom"/>
            <w:hideMark/>
          </w:tcPr>
          <w:p w14:paraId="2ECB592E" w14:textId="77777777" w:rsidR="00BD4D02" w:rsidRPr="00BD4D02" w:rsidRDefault="00BD4D02" w:rsidP="00BD4D02">
            <w:pPr>
              <w:rPr>
                <w:sz w:val="20"/>
                <w:szCs w:val="20"/>
              </w:rPr>
            </w:pPr>
          </w:p>
        </w:tc>
        <w:tc>
          <w:tcPr>
            <w:tcW w:w="663" w:type="dxa"/>
            <w:shd w:val="clear" w:color="auto" w:fill="auto"/>
            <w:noWrap/>
            <w:vAlign w:val="bottom"/>
            <w:hideMark/>
          </w:tcPr>
          <w:p w14:paraId="4A291845"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2594F1C0"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5E0B0EB1" w14:textId="77777777" w:rsidR="00BD4D02" w:rsidRPr="00BD4D02" w:rsidRDefault="00BD4D02" w:rsidP="00BD4D02">
            <w:pPr>
              <w:rPr>
                <w:sz w:val="20"/>
                <w:szCs w:val="20"/>
              </w:rPr>
            </w:pPr>
          </w:p>
        </w:tc>
        <w:tc>
          <w:tcPr>
            <w:tcW w:w="663" w:type="dxa"/>
            <w:shd w:val="clear" w:color="auto" w:fill="auto"/>
            <w:noWrap/>
            <w:vAlign w:val="bottom"/>
            <w:hideMark/>
          </w:tcPr>
          <w:p w14:paraId="693F8220" w14:textId="77777777" w:rsidR="00BD4D02" w:rsidRPr="00BD4D02" w:rsidRDefault="00BD4D02" w:rsidP="00BD4D02">
            <w:pPr>
              <w:rPr>
                <w:sz w:val="20"/>
                <w:szCs w:val="20"/>
              </w:rPr>
            </w:pPr>
          </w:p>
        </w:tc>
        <w:tc>
          <w:tcPr>
            <w:tcW w:w="663" w:type="dxa"/>
            <w:shd w:val="clear" w:color="auto" w:fill="auto"/>
            <w:noWrap/>
            <w:vAlign w:val="bottom"/>
            <w:hideMark/>
          </w:tcPr>
          <w:p w14:paraId="4470000F" w14:textId="77777777" w:rsidR="00BD4D02" w:rsidRPr="00BD4D02" w:rsidRDefault="00BD4D02" w:rsidP="00BD4D02">
            <w:pPr>
              <w:rPr>
                <w:sz w:val="20"/>
                <w:szCs w:val="20"/>
              </w:rPr>
            </w:pPr>
          </w:p>
        </w:tc>
        <w:tc>
          <w:tcPr>
            <w:tcW w:w="663" w:type="dxa"/>
            <w:shd w:val="clear" w:color="auto" w:fill="auto"/>
            <w:noWrap/>
            <w:vAlign w:val="bottom"/>
            <w:hideMark/>
          </w:tcPr>
          <w:p w14:paraId="17BF11A6" w14:textId="77777777" w:rsidR="00BD4D02" w:rsidRPr="00BD4D02" w:rsidRDefault="00BD4D02" w:rsidP="00BD4D02">
            <w:pPr>
              <w:rPr>
                <w:sz w:val="20"/>
                <w:szCs w:val="20"/>
              </w:rPr>
            </w:pPr>
          </w:p>
        </w:tc>
        <w:tc>
          <w:tcPr>
            <w:tcW w:w="663" w:type="dxa"/>
            <w:shd w:val="clear" w:color="auto" w:fill="auto"/>
            <w:noWrap/>
            <w:vAlign w:val="bottom"/>
            <w:hideMark/>
          </w:tcPr>
          <w:p w14:paraId="1814CAC0" w14:textId="77777777" w:rsidR="00BD4D02" w:rsidRPr="00BD4D02" w:rsidRDefault="00BD4D02" w:rsidP="00BD4D02">
            <w:pPr>
              <w:rPr>
                <w:sz w:val="20"/>
                <w:szCs w:val="20"/>
              </w:rPr>
            </w:pPr>
          </w:p>
        </w:tc>
        <w:tc>
          <w:tcPr>
            <w:tcW w:w="1180" w:type="dxa"/>
            <w:shd w:val="clear" w:color="auto" w:fill="auto"/>
            <w:noWrap/>
            <w:vAlign w:val="bottom"/>
            <w:hideMark/>
          </w:tcPr>
          <w:p w14:paraId="70B2D920"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4F65E823" w14:textId="77777777" w:rsidTr="00050580">
        <w:trPr>
          <w:trHeight w:val="144"/>
        </w:trPr>
        <w:tc>
          <w:tcPr>
            <w:tcW w:w="4500" w:type="dxa"/>
            <w:shd w:val="clear" w:color="auto" w:fill="auto"/>
            <w:noWrap/>
            <w:vAlign w:val="bottom"/>
            <w:hideMark/>
          </w:tcPr>
          <w:p w14:paraId="00AEEAA1"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Payphones</w:t>
            </w:r>
          </w:p>
        </w:tc>
        <w:tc>
          <w:tcPr>
            <w:tcW w:w="770" w:type="dxa"/>
            <w:shd w:val="clear" w:color="auto" w:fill="auto"/>
            <w:noWrap/>
            <w:vAlign w:val="bottom"/>
            <w:hideMark/>
          </w:tcPr>
          <w:p w14:paraId="516BCDCC"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2FC2E480" w14:textId="77777777" w:rsidR="00BD4D02" w:rsidRPr="00BD4D02" w:rsidRDefault="00BD4D02" w:rsidP="00BD4D02">
            <w:pPr>
              <w:rPr>
                <w:sz w:val="20"/>
                <w:szCs w:val="20"/>
              </w:rPr>
            </w:pPr>
          </w:p>
        </w:tc>
        <w:tc>
          <w:tcPr>
            <w:tcW w:w="663" w:type="dxa"/>
            <w:shd w:val="clear" w:color="auto" w:fill="auto"/>
            <w:noWrap/>
            <w:vAlign w:val="bottom"/>
            <w:hideMark/>
          </w:tcPr>
          <w:p w14:paraId="62C4DC30" w14:textId="77777777" w:rsidR="00BD4D02" w:rsidRPr="00BD4D02" w:rsidRDefault="00BD4D02" w:rsidP="00BD4D02">
            <w:pPr>
              <w:rPr>
                <w:sz w:val="20"/>
                <w:szCs w:val="20"/>
              </w:rPr>
            </w:pPr>
          </w:p>
        </w:tc>
        <w:tc>
          <w:tcPr>
            <w:tcW w:w="663" w:type="dxa"/>
            <w:shd w:val="clear" w:color="auto" w:fill="auto"/>
            <w:noWrap/>
            <w:vAlign w:val="bottom"/>
            <w:hideMark/>
          </w:tcPr>
          <w:p w14:paraId="35400789" w14:textId="77777777" w:rsidR="00BD4D02" w:rsidRPr="00BD4D02" w:rsidRDefault="00BD4D02" w:rsidP="00BD4D02">
            <w:pPr>
              <w:rPr>
                <w:sz w:val="20"/>
                <w:szCs w:val="20"/>
              </w:rPr>
            </w:pPr>
          </w:p>
        </w:tc>
        <w:tc>
          <w:tcPr>
            <w:tcW w:w="663" w:type="dxa"/>
            <w:shd w:val="clear" w:color="auto" w:fill="auto"/>
            <w:noWrap/>
            <w:vAlign w:val="bottom"/>
            <w:hideMark/>
          </w:tcPr>
          <w:p w14:paraId="746DF466" w14:textId="77777777" w:rsidR="00BD4D02" w:rsidRPr="00BD4D02" w:rsidRDefault="00BD4D02" w:rsidP="00BD4D02">
            <w:pPr>
              <w:rPr>
                <w:sz w:val="20"/>
                <w:szCs w:val="20"/>
              </w:rPr>
            </w:pPr>
          </w:p>
        </w:tc>
        <w:tc>
          <w:tcPr>
            <w:tcW w:w="663" w:type="dxa"/>
            <w:shd w:val="clear" w:color="auto" w:fill="auto"/>
            <w:noWrap/>
            <w:vAlign w:val="bottom"/>
            <w:hideMark/>
          </w:tcPr>
          <w:p w14:paraId="3945E0E5"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48D18423"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28C70F7A"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77A99036"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3F0E601A"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2589A249"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2C238005" w14:textId="77777777" w:rsidR="00BD4D02" w:rsidRPr="00BD4D02" w:rsidRDefault="00BD4D02" w:rsidP="00BD4D02">
            <w:pPr>
              <w:rPr>
                <w:sz w:val="20"/>
                <w:szCs w:val="20"/>
              </w:rPr>
            </w:pPr>
          </w:p>
        </w:tc>
        <w:tc>
          <w:tcPr>
            <w:tcW w:w="1180" w:type="dxa"/>
            <w:shd w:val="clear" w:color="auto" w:fill="auto"/>
            <w:noWrap/>
            <w:vAlign w:val="bottom"/>
            <w:hideMark/>
          </w:tcPr>
          <w:p w14:paraId="68F30DD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5</w:t>
            </w:r>
          </w:p>
        </w:tc>
      </w:tr>
      <w:tr w:rsidR="00BD4D02" w:rsidRPr="00BD4D02" w14:paraId="63EB44BA" w14:textId="77777777" w:rsidTr="00050580">
        <w:trPr>
          <w:trHeight w:val="144"/>
        </w:trPr>
        <w:tc>
          <w:tcPr>
            <w:tcW w:w="4500" w:type="dxa"/>
            <w:shd w:val="clear" w:color="auto" w:fill="auto"/>
            <w:noWrap/>
            <w:vAlign w:val="bottom"/>
            <w:hideMark/>
          </w:tcPr>
          <w:p w14:paraId="13875F0F"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Price - BDU service</w:t>
            </w:r>
          </w:p>
        </w:tc>
        <w:tc>
          <w:tcPr>
            <w:tcW w:w="770" w:type="dxa"/>
            <w:shd w:val="clear" w:color="auto" w:fill="auto"/>
            <w:noWrap/>
            <w:vAlign w:val="bottom"/>
            <w:hideMark/>
          </w:tcPr>
          <w:p w14:paraId="4B567BD8"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4FD9EC8D" w14:textId="77777777" w:rsidR="00BD4D02" w:rsidRPr="00BD4D02" w:rsidRDefault="00BD4D02" w:rsidP="00BD4D02">
            <w:pPr>
              <w:rPr>
                <w:sz w:val="20"/>
                <w:szCs w:val="20"/>
              </w:rPr>
            </w:pPr>
          </w:p>
        </w:tc>
        <w:tc>
          <w:tcPr>
            <w:tcW w:w="663" w:type="dxa"/>
            <w:shd w:val="clear" w:color="auto" w:fill="auto"/>
            <w:noWrap/>
            <w:vAlign w:val="bottom"/>
            <w:hideMark/>
          </w:tcPr>
          <w:p w14:paraId="7654CA51" w14:textId="77777777" w:rsidR="00BD4D02" w:rsidRPr="00BD4D02" w:rsidRDefault="00BD4D02" w:rsidP="00BD4D02">
            <w:pPr>
              <w:rPr>
                <w:sz w:val="20"/>
                <w:szCs w:val="20"/>
              </w:rPr>
            </w:pPr>
          </w:p>
        </w:tc>
        <w:tc>
          <w:tcPr>
            <w:tcW w:w="663" w:type="dxa"/>
            <w:shd w:val="clear" w:color="auto" w:fill="auto"/>
            <w:noWrap/>
            <w:vAlign w:val="bottom"/>
            <w:hideMark/>
          </w:tcPr>
          <w:p w14:paraId="2DE27140" w14:textId="77777777" w:rsidR="00BD4D02" w:rsidRPr="00BD4D02" w:rsidRDefault="00BD4D02" w:rsidP="00BD4D02">
            <w:pPr>
              <w:rPr>
                <w:sz w:val="20"/>
                <w:szCs w:val="20"/>
              </w:rPr>
            </w:pPr>
          </w:p>
        </w:tc>
        <w:tc>
          <w:tcPr>
            <w:tcW w:w="663" w:type="dxa"/>
            <w:shd w:val="clear" w:color="auto" w:fill="auto"/>
            <w:noWrap/>
            <w:vAlign w:val="bottom"/>
            <w:hideMark/>
          </w:tcPr>
          <w:p w14:paraId="631F6669" w14:textId="77777777" w:rsidR="00BD4D02" w:rsidRPr="00BD4D02" w:rsidRDefault="00BD4D02" w:rsidP="00BD4D02">
            <w:pPr>
              <w:rPr>
                <w:sz w:val="20"/>
                <w:szCs w:val="20"/>
              </w:rPr>
            </w:pPr>
          </w:p>
        </w:tc>
        <w:tc>
          <w:tcPr>
            <w:tcW w:w="663" w:type="dxa"/>
            <w:shd w:val="clear" w:color="auto" w:fill="auto"/>
            <w:noWrap/>
            <w:vAlign w:val="bottom"/>
            <w:hideMark/>
          </w:tcPr>
          <w:p w14:paraId="46A8B2E5" w14:textId="77777777" w:rsidR="00BD4D02" w:rsidRPr="00BD4D02" w:rsidRDefault="00BD4D02" w:rsidP="00BD4D02">
            <w:pPr>
              <w:rPr>
                <w:sz w:val="20"/>
                <w:szCs w:val="20"/>
              </w:rPr>
            </w:pPr>
          </w:p>
        </w:tc>
        <w:tc>
          <w:tcPr>
            <w:tcW w:w="663" w:type="dxa"/>
            <w:shd w:val="clear" w:color="auto" w:fill="auto"/>
            <w:noWrap/>
            <w:vAlign w:val="bottom"/>
            <w:hideMark/>
          </w:tcPr>
          <w:p w14:paraId="50E3D27B" w14:textId="77777777" w:rsidR="00BD4D02" w:rsidRPr="00BD4D02" w:rsidRDefault="00BD4D02" w:rsidP="00BD4D02">
            <w:pPr>
              <w:rPr>
                <w:sz w:val="20"/>
                <w:szCs w:val="20"/>
              </w:rPr>
            </w:pPr>
          </w:p>
        </w:tc>
        <w:tc>
          <w:tcPr>
            <w:tcW w:w="663" w:type="dxa"/>
            <w:shd w:val="clear" w:color="auto" w:fill="auto"/>
            <w:noWrap/>
            <w:vAlign w:val="bottom"/>
            <w:hideMark/>
          </w:tcPr>
          <w:p w14:paraId="4F0EA9F9" w14:textId="77777777" w:rsidR="00BD4D02" w:rsidRPr="00BD4D02" w:rsidRDefault="00BD4D02" w:rsidP="00BD4D02">
            <w:pPr>
              <w:rPr>
                <w:sz w:val="20"/>
                <w:szCs w:val="20"/>
              </w:rPr>
            </w:pPr>
          </w:p>
        </w:tc>
        <w:tc>
          <w:tcPr>
            <w:tcW w:w="663" w:type="dxa"/>
            <w:shd w:val="clear" w:color="auto" w:fill="auto"/>
            <w:noWrap/>
            <w:vAlign w:val="bottom"/>
            <w:hideMark/>
          </w:tcPr>
          <w:p w14:paraId="009BA7E0" w14:textId="77777777" w:rsidR="00BD4D02" w:rsidRPr="00BD4D02" w:rsidRDefault="00BD4D02" w:rsidP="00BD4D02">
            <w:pPr>
              <w:rPr>
                <w:sz w:val="20"/>
                <w:szCs w:val="20"/>
              </w:rPr>
            </w:pPr>
          </w:p>
        </w:tc>
        <w:tc>
          <w:tcPr>
            <w:tcW w:w="663" w:type="dxa"/>
            <w:shd w:val="clear" w:color="auto" w:fill="auto"/>
            <w:noWrap/>
            <w:vAlign w:val="bottom"/>
            <w:hideMark/>
          </w:tcPr>
          <w:p w14:paraId="6E83FDDC" w14:textId="77777777" w:rsidR="00BD4D02" w:rsidRPr="00BD4D02" w:rsidRDefault="00BD4D02" w:rsidP="00BD4D02">
            <w:pPr>
              <w:rPr>
                <w:sz w:val="20"/>
                <w:szCs w:val="20"/>
              </w:rPr>
            </w:pPr>
          </w:p>
        </w:tc>
        <w:tc>
          <w:tcPr>
            <w:tcW w:w="663" w:type="dxa"/>
            <w:shd w:val="clear" w:color="auto" w:fill="auto"/>
            <w:noWrap/>
            <w:vAlign w:val="bottom"/>
            <w:hideMark/>
          </w:tcPr>
          <w:p w14:paraId="58AED7AF" w14:textId="77777777" w:rsidR="00BD4D02" w:rsidRPr="00BD4D02" w:rsidRDefault="00BD4D02" w:rsidP="00BD4D02">
            <w:pPr>
              <w:rPr>
                <w:sz w:val="20"/>
                <w:szCs w:val="20"/>
              </w:rPr>
            </w:pPr>
          </w:p>
        </w:tc>
        <w:tc>
          <w:tcPr>
            <w:tcW w:w="663" w:type="dxa"/>
            <w:shd w:val="clear" w:color="auto" w:fill="auto"/>
            <w:noWrap/>
            <w:vAlign w:val="bottom"/>
            <w:hideMark/>
          </w:tcPr>
          <w:p w14:paraId="46953635"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1180" w:type="dxa"/>
            <w:shd w:val="clear" w:color="auto" w:fill="auto"/>
            <w:noWrap/>
            <w:vAlign w:val="bottom"/>
            <w:hideMark/>
          </w:tcPr>
          <w:p w14:paraId="654D5CBA"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7D8325D7" w14:textId="77777777" w:rsidTr="00050580">
        <w:trPr>
          <w:trHeight w:val="144"/>
        </w:trPr>
        <w:tc>
          <w:tcPr>
            <w:tcW w:w="4500" w:type="dxa"/>
            <w:shd w:val="clear" w:color="auto" w:fill="auto"/>
            <w:noWrap/>
            <w:vAlign w:val="bottom"/>
            <w:hideMark/>
          </w:tcPr>
          <w:p w14:paraId="53B888C2"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Price - broadband</w:t>
            </w:r>
          </w:p>
        </w:tc>
        <w:tc>
          <w:tcPr>
            <w:tcW w:w="770" w:type="dxa"/>
            <w:shd w:val="clear" w:color="auto" w:fill="auto"/>
            <w:noWrap/>
            <w:vAlign w:val="bottom"/>
            <w:hideMark/>
          </w:tcPr>
          <w:p w14:paraId="6963579C"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2324F369" w14:textId="77777777" w:rsidR="00BD4D02" w:rsidRPr="00BD4D02" w:rsidRDefault="00BD4D02" w:rsidP="00BD4D02">
            <w:pPr>
              <w:rPr>
                <w:sz w:val="20"/>
                <w:szCs w:val="20"/>
              </w:rPr>
            </w:pPr>
          </w:p>
        </w:tc>
        <w:tc>
          <w:tcPr>
            <w:tcW w:w="663" w:type="dxa"/>
            <w:shd w:val="clear" w:color="auto" w:fill="auto"/>
            <w:noWrap/>
            <w:vAlign w:val="bottom"/>
            <w:hideMark/>
          </w:tcPr>
          <w:p w14:paraId="5B9AC0A9" w14:textId="77777777" w:rsidR="00BD4D02" w:rsidRPr="00BD4D02" w:rsidRDefault="00BD4D02" w:rsidP="00BD4D02">
            <w:pPr>
              <w:rPr>
                <w:sz w:val="20"/>
                <w:szCs w:val="20"/>
              </w:rPr>
            </w:pPr>
          </w:p>
        </w:tc>
        <w:tc>
          <w:tcPr>
            <w:tcW w:w="663" w:type="dxa"/>
            <w:shd w:val="clear" w:color="auto" w:fill="auto"/>
            <w:noWrap/>
            <w:vAlign w:val="bottom"/>
            <w:hideMark/>
          </w:tcPr>
          <w:p w14:paraId="5ADDF21A" w14:textId="77777777" w:rsidR="00BD4D02" w:rsidRPr="00BD4D02" w:rsidRDefault="00BD4D02" w:rsidP="00BD4D02">
            <w:pPr>
              <w:rPr>
                <w:sz w:val="20"/>
                <w:szCs w:val="20"/>
              </w:rPr>
            </w:pPr>
          </w:p>
        </w:tc>
        <w:tc>
          <w:tcPr>
            <w:tcW w:w="663" w:type="dxa"/>
            <w:shd w:val="clear" w:color="auto" w:fill="auto"/>
            <w:noWrap/>
            <w:vAlign w:val="bottom"/>
            <w:hideMark/>
          </w:tcPr>
          <w:p w14:paraId="0F9DC011" w14:textId="77777777" w:rsidR="00BD4D02" w:rsidRPr="00BD4D02" w:rsidRDefault="00BD4D02" w:rsidP="00BD4D02">
            <w:pPr>
              <w:rPr>
                <w:sz w:val="20"/>
                <w:szCs w:val="20"/>
              </w:rPr>
            </w:pPr>
          </w:p>
        </w:tc>
        <w:tc>
          <w:tcPr>
            <w:tcW w:w="663" w:type="dxa"/>
            <w:shd w:val="clear" w:color="auto" w:fill="auto"/>
            <w:noWrap/>
            <w:vAlign w:val="bottom"/>
            <w:hideMark/>
          </w:tcPr>
          <w:p w14:paraId="31DDFFE1" w14:textId="77777777" w:rsidR="00BD4D02" w:rsidRPr="00BD4D02" w:rsidRDefault="00BD4D02" w:rsidP="00BD4D02">
            <w:pPr>
              <w:rPr>
                <w:sz w:val="20"/>
                <w:szCs w:val="20"/>
              </w:rPr>
            </w:pPr>
          </w:p>
        </w:tc>
        <w:tc>
          <w:tcPr>
            <w:tcW w:w="663" w:type="dxa"/>
            <w:shd w:val="clear" w:color="auto" w:fill="auto"/>
            <w:noWrap/>
            <w:vAlign w:val="bottom"/>
            <w:hideMark/>
          </w:tcPr>
          <w:p w14:paraId="2CAE1AF4"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2E4CCFAB"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53C7A278"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2CB0BD25"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w:t>
            </w:r>
          </w:p>
        </w:tc>
        <w:tc>
          <w:tcPr>
            <w:tcW w:w="663" w:type="dxa"/>
            <w:shd w:val="clear" w:color="auto" w:fill="auto"/>
            <w:noWrap/>
            <w:vAlign w:val="bottom"/>
            <w:hideMark/>
          </w:tcPr>
          <w:p w14:paraId="13550F55"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4139F005" w14:textId="77777777" w:rsidR="00BD4D02" w:rsidRPr="00BD4D02" w:rsidRDefault="00BD4D02" w:rsidP="00BD4D02">
            <w:pPr>
              <w:rPr>
                <w:sz w:val="20"/>
                <w:szCs w:val="20"/>
              </w:rPr>
            </w:pPr>
          </w:p>
        </w:tc>
        <w:tc>
          <w:tcPr>
            <w:tcW w:w="1180" w:type="dxa"/>
            <w:shd w:val="clear" w:color="auto" w:fill="auto"/>
            <w:noWrap/>
            <w:vAlign w:val="bottom"/>
            <w:hideMark/>
          </w:tcPr>
          <w:p w14:paraId="66B9B5DF"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6</w:t>
            </w:r>
          </w:p>
        </w:tc>
      </w:tr>
      <w:tr w:rsidR="00BD4D02" w:rsidRPr="00BD4D02" w14:paraId="4A6F226B" w14:textId="77777777" w:rsidTr="00050580">
        <w:trPr>
          <w:trHeight w:val="144"/>
        </w:trPr>
        <w:tc>
          <w:tcPr>
            <w:tcW w:w="4500" w:type="dxa"/>
            <w:shd w:val="clear" w:color="auto" w:fill="auto"/>
            <w:noWrap/>
            <w:vAlign w:val="bottom"/>
            <w:hideMark/>
          </w:tcPr>
          <w:p w14:paraId="2B4FB6A6"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Price - telephony</w:t>
            </w:r>
          </w:p>
        </w:tc>
        <w:tc>
          <w:tcPr>
            <w:tcW w:w="770" w:type="dxa"/>
            <w:shd w:val="clear" w:color="auto" w:fill="auto"/>
            <w:noWrap/>
            <w:vAlign w:val="bottom"/>
            <w:hideMark/>
          </w:tcPr>
          <w:p w14:paraId="2C1EB66D"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31494F50" w14:textId="77777777" w:rsidR="00BD4D02" w:rsidRPr="00BD4D02" w:rsidRDefault="00BD4D02" w:rsidP="00BD4D02">
            <w:pPr>
              <w:rPr>
                <w:sz w:val="20"/>
                <w:szCs w:val="20"/>
              </w:rPr>
            </w:pPr>
          </w:p>
        </w:tc>
        <w:tc>
          <w:tcPr>
            <w:tcW w:w="663" w:type="dxa"/>
            <w:shd w:val="clear" w:color="auto" w:fill="auto"/>
            <w:noWrap/>
            <w:vAlign w:val="bottom"/>
            <w:hideMark/>
          </w:tcPr>
          <w:p w14:paraId="64747020" w14:textId="77777777" w:rsidR="00BD4D02" w:rsidRPr="00BD4D02" w:rsidRDefault="00BD4D02" w:rsidP="00BD4D02">
            <w:pPr>
              <w:rPr>
                <w:sz w:val="20"/>
                <w:szCs w:val="20"/>
              </w:rPr>
            </w:pPr>
          </w:p>
        </w:tc>
        <w:tc>
          <w:tcPr>
            <w:tcW w:w="663" w:type="dxa"/>
            <w:shd w:val="clear" w:color="auto" w:fill="auto"/>
            <w:noWrap/>
            <w:vAlign w:val="bottom"/>
            <w:hideMark/>
          </w:tcPr>
          <w:p w14:paraId="61FE6113" w14:textId="77777777" w:rsidR="00BD4D02" w:rsidRPr="00BD4D02" w:rsidRDefault="00BD4D02" w:rsidP="00BD4D02">
            <w:pPr>
              <w:rPr>
                <w:sz w:val="20"/>
                <w:szCs w:val="20"/>
              </w:rPr>
            </w:pPr>
          </w:p>
        </w:tc>
        <w:tc>
          <w:tcPr>
            <w:tcW w:w="663" w:type="dxa"/>
            <w:shd w:val="clear" w:color="auto" w:fill="auto"/>
            <w:noWrap/>
            <w:vAlign w:val="bottom"/>
            <w:hideMark/>
          </w:tcPr>
          <w:p w14:paraId="76DF13DB" w14:textId="77777777" w:rsidR="00BD4D02" w:rsidRPr="00BD4D02" w:rsidRDefault="00BD4D02" w:rsidP="00BD4D02">
            <w:pPr>
              <w:rPr>
                <w:sz w:val="20"/>
                <w:szCs w:val="20"/>
              </w:rPr>
            </w:pPr>
          </w:p>
        </w:tc>
        <w:tc>
          <w:tcPr>
            <w:tcW w:w="663" w:type="dxa"/>
            <w:shd w:val="clear" w:color="auto" w:fill="auto"/>
            <w:noWrap/>
            <w:vAlign w:val="bottom"/>
            <w:hideMark/>
          </w:tcPr>
          <w:p w14:paraId="67099F5C" w14:textId="77777777" w:rsidR="00BD4D02" w:rsidRPr="00BD4D02" w:rsidRDefault="00BD4D02" w:rsidP="00BD4D02">
            <w:pPr>
              <w:rPr>
                <w:sz w:val="20"/>
                <w:szCs w:val="20"/>
              </w:rPr>
            </w:pPr>
          </w:p>
        </w:tc>
        <w:tc>
          <w:tcPr>
            <w:tcW w:w="663" w:type="dxa"/>
            <w:shd w:val="clear" w:color="auto" w:fill="auto"/>
            <w:noWrap/>
            <w:vAlign w:val="bottom"/>
            <w:hideMark/>
          </w:tcPr>
          <w:p w14:paraId="77336E5A" w14:textId="77777777" w:rsidR="00BD4D02" w:rsidRPr="00BD4D02" w:rsidRDefault="00BD4D02" w:rsidP="00BD4D02">
            <w:pPr>
              <w:rPr>
                <w:sz w:val="20"/>
                <w:szCs w:val="20"/>
              </w:rPr>
            </w:pPr>
          </w:p>
        </w:tc>
        <w:tc>
          <w:tcPr>
            <w:tcW w:w="663" w:type="dxa"/>
            <w:shd w:val="clear" w:color="auto" w:fill="auto"/>
            <w:noWrap/>
            <w:vAlign w:val="bottom"/>
            <w:hideMark/>
          </w:tcPr>
          <w:p w14:paraId="0B1D5C0C" w14:textId="77777777" w:rsidR="00BD4D02" w:rsidRPr="00BD4D02" w:rsidRDefault="00BD4D02" w:rsidP="00BD4D02">
            <w:pPr>
              <w:rPr>
                <w:sz w:val="20"/>
                <w:szCs w:val="20"/>
              </w:rPr>
            </w:pPr>
          </w:p>
        </w:tc>
        <w:tc>
          <w:tcPr>
            <w:tcW w:w="663" w:type="dxa"/>
            <w:shd w:val="clear" w:color="auto" w:fill="auto"/>
            <w:noWrap/>
            <w:vAlign w:val="bottom"/>
            <w:hideMark/>
          </w:tcPr>
          <w:p w14:paraId="0060FAD3" w14:textId="77777777" w:rsidR="00BD4D02" w:rsidRPr="00BD4D02" w:rsidRDefault="00BD4D02" w:rsidP="00BD4D02">
            <w:pPr>
              <w:rPr>
                <w:sz w:val="20"/>
                <w:szCs w:val="20"/>
              </w:rPr>
            </w:pPr>
          </w:p>
        </w:tc>
        <w:tc>
          <w:tcPr>
            <w:tcW w:w="663" w:type="dxa"/>
            <w:shd w:val="clear" w:color="auto" w:fill="auto"/>
            <w:noWrap/>
            <w:vAlign w:val="bottom"/>
            <w:hideMark/>
          </w:tcPr>
          <w:p w14:paraId="2383288D"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79B77007"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0D51BDB9" w14:textId="77777777" w:rsidR="00BD4D02" w:rsidRPr="00BD4D02" w:rsidRDefault="00BD4D02" w:rsidP="00BD4D02">
            <w:pPr>
              <w:rPr>
                <w:sz w:val="20"/>
                <w:szCs w:val="20"/>
              </w:rPr>
            </w:pPr>
          </w:p>
        </w:tc>
        <w:tc>
          <w:tcPr>
            <w:tcW w:w="1180" w:type="dxa"/>
            <w:shd w:val="clear" w:color="auto" w:fill="auto"/>
            <w:noWrap/>
            <w:vAlign w:val="bottom"/>
            <w:hideMark/>
          </w:tcPr>
          <w:p w14:paraId="13E81B6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4DA4B33F" w14:textId="77777777" w:rsidTr="00050580">
        <w:trPr>
          <w:trHeight w:val="144"/>
        </w:trPr>
        <w:tc>
          <w:tcPr>
            <w:tcW w:w="4500" w:type="dxa"/>
            <w:shd w:val="clear" w:color="auto" w:fill="auto"/>
            <w:noWrap/>
            <w:vAlign w:val="bottom"/>
            <w:hideMark/>
          </w:tcPr>
          <w:p w14:paraId="248835F8"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Prices - basic local telephone</w:t>
            </w:r>
          </w:p>
        </w:tc>
        <w:tc>
          <w:tcPr>
            <w:tcW w:w="770" w:type="dxa"/>
            <w:shd w:val="clear" w:color="auto" w:fill="auto"/>
            <w:noWrap/>
            <w:vAlign w:val="bottom"/>
            <w:hideMark/>
          </w:tcPr>
          <w:p w14:paraId="188B2F6E"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2EA75B9D" w14:textId="77777777" w:rsidR="00BD4D02" w:rsidRPr="00BD4D02" w:rsidRDefault="00BD4D02" w:rsidP="00BD4D02">
            <w:pPr>
              <w:rPr>
                <w:sz w:val="20"/>
                <w:szCs w:val="20"/>
              </w:rPr>
            </w:pPr>
          </w:p>
        </w:tc>
        <w:tc>
          <w:tcPr>
            <w:tcW w:w="663" w:type="dxa"/>
            <w:shd w:val="clear" w:color="auto" w:fill="auto"/>
            <w:noWrap/>
            <w:vAlign w:val="bottom"/>
            <w:hideMark/>
          </w:tcPr>
          <w:p w14:paraId="657268E7" w14:textId="77777777" w:rsidR="00BD4D02" w:rsidRPr="00BD4D02" w:rsidRDefault="00BD4D02" w:rsidP="00BD4D02">
            <w:pPr>
              <w:rPr>
                <w:sz w:val="20"/>
                <w:szCs w:val="20"/>
              </w:rPr>
            </w:pPr>
          </w:p>
        </w:tc>
        <w:tc>
          <w:tcPr>
            <w:tcW w:w="663" w:type="dxa"/>
            <w:shd w:val="clear" w:color="auto" w:fill="auto"/>
            <w:noWrap/>
            <w:vAlign w:val="bottom"/>
            <w:hideMark/>
          </w:tcPr>
          <w:p w14:paraId="712F6212" w14:textId="77777777" w:rsidR="00BD4D02" w:rsidRPr="00BD4D02" w:rsidRDefault="00BD4D02" w:rsidP="00BD4D02">
            <w:pPr>
              <w:rPr>
                <w:sz w:val="20"/>
                <w:szCs w:val="20"/>
              </w:rPr>
            </w:pPr>
          </w:p>
        </w:tc>
        <w:tc>
          <w:tcPr>
            <w:tcW w:w="663" w:type="dxa"/>
            <w:shd w:val="clear" w:color="auto" w:fill="auto"/>
            <w:noWrap/>
            <w:vAlign w:val="bottom"/>
            <w:hideMark/>
          </w:tcPr>
          <w:p w14:paraId="41D24BEB" w14:textId="77777777" w:rsidR="00BD4D02" w:rsidRPr="00BD4D02" w:rsidRDefault="00BD4D02" w:rsidP="00BD4D02">
            <w:pPr>
              <w:rPr>
                <w:sz w:val="20"/>
                <w:szCs w:val="20"/>
              </w:rPr>
            </w:pPr>
          </w:p>
        </w:tc>
        <w:tc>
          <w:tcPr>
            <w:tcW w:w="663" w:type="dxa"/>
            <w:shd w:val="clear" w:color="auto" w:fill="auto"/>
            <w:noWrap/>
            <w:vAlign w:val="bottom"/>
            <w:hideMark/>
          </w:tcPr>
          <w:p w14:paraId="3BB7481E" w14:textId="77777777" w:rsidR="00BD4D02" w:rsidRPr="00BD4D02" w:rsidRDefault="00BD4D02" w:rsidP="00BD4D02">
            <w:pPr>
              <w:rPr>
                <w:sz w:val="20"/>
                <w:szCs w:val="20"/>
              </w:rPr>
            </w:pPr>
          </w:p>
        </w:tc>
        <w:tc>
          <w:tcPr>
            <w:tcW w:w="663" w:type="dxa"/>
            <w:shd w:val="clear" w:color="auto" w:fill="auto"/>
            <w:noWrap/>
            <w:vAlign w:val="bottom"/>
            <w:hideMark/>
          </w:tcPr>
          <w:p w14:paraId="01568743"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6F8FB914"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77BC26C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0827B47A"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76435142"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0F913FE0" w14:textId="77777777" w:rsidR="00BD4D02" w:rsidRPr="00BD4D02" w:rsidRDefault="00BD4D02" w:rsidP="00BD4D02">
            <w:pPr>
              <w:rPr>
                <w:sz w:val="20"/>
                <w:szCs w:val="20"/>
              </w:rPr>
            </w:pPr>
          </w:p>
        </w:tc>
        <w:tc>
          <w:tcPr>
            <w:tcW w:w="1180" w:type="dxa"/>
            <w:shd w:val="clear" w:color="auto" w:fill="auto"/>
            <w:noWrap/>
            <w:vAlign w:val="bottom"/>
            <w:hideMark/>
          </w:tcPr>
          <w:p w14:paraId="524C2142"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8</w:t>
            </w:r>
          </w:p>
        </w:tc>
      </w:tr>
      <w:tr w:rsidR="00BD4D02" w:rsidRPr="00BD4D02" w14:paraId="39C7C7C7" w14:textId="77777777" w:rsidTr="00050580">
        <w:trPr>
          <w:trHeight w:val="144"/>
        </w:trPr>
        <w:tc>
          <w:tcPr>
            <w:tcW w:w="4500" w:type="dxa"/>
            <w:shd w:val="clear" w:color="auto" w:fill="auto"/>
            <w:noWrap/>
            <w:vAlign w:val="bottom"/>
            <w:hideMark/>
          </w:tcPr>
          <w:p w14:paraId="427D62A9"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Prices - broadband</w:t>
            </w:r>
          </w:p>
        </w:tc>
        <w:tc>
          <w:tcPr>
            <w:tcW w:w="770" w:type="dxa"/>
            <w:shd w:val="clear" w:color="auto" w:fill="auto"/>
            <w:noWrap/>
            <w:vAlign w:val="bottom"/>
            <w:hideMark/>
          </w:tcPr>
          <w:p w14:paraId="5F3EC103"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057F8535" w14:textId="77777777" w:rsidR="00BD4D02" w:rsidRPr="00BD4D02" w:rsidRDefault="00BD4D02" w:rsidP="00BD4D02">
            <w:pPr>
              <w:rPr>
                <w:sz w:val="20"/>
                <w:szCs w:val="20"/>
              </w:rPr>
            </w:pPr>
          </w:p>
        </w:tc>
        <w:tc>
          <w:tcPr>
            <w:tcW w:w="663" w:type="dxa"/>
            <w:shd w:val="clear" w:color="auto" w:fill="auto"/>
            <w:noWrap/>
            <w:vAlign w:val="bottom"/>
            <w:hideMark/>
          </w:tcPr>
          <w:p w14:paraId="0825F210" w14:textId="77777777" w:rsidR="00BD4D02" w:rsidRPr="00BD4D02" w:rsidRDefault="00BD4D02" w:rsidP="00BD4D02">
            <w:pPr>
              <w:rPr>
                <w:sz w:val="20"/>
                <w:szCs w:val="20"/>
              </w:rPr>
            </w:pPr>
          </w:p>
        </w:tc>
        <w:tc>
          <w:tcPr>
            <w:tcW w:w="663" w:type="dxa"/>
            <w:shd w:val="clear" w:color="auto" w:fill="auto"/>
            <w:noWrap/>
            <w:vAlign w:val="bottom"/>
            <w:hideMark/>
          </w:tcPr>
          <w:p w14:paraId="32C3FEF2" w14:textId="77777777" w:rsidR="00BD4D02" w:rsidRPr="00BD4D02" w:rsidRDefault="00BD4D02" w:rsidP="00BD4D02">
            <w:pPr>
              <w:rPr>
                <w:sz w:val="20"/>
                <w:szCs w:val="20"/>
              </w:rPr>
            </w:pPr>
          </w:p>
        </w:tc>
        <w:tc>
          <w:tcPr>
            <w:tcW w:w="663" w:type="dxa"/>
            <w:shd w:val="clear" w:color="auto" w:fill="auto"/>
            <w:noWrap/>
            <w:vAlign w:val="bottom"/>
            <w:hideMark/>
          </w:tcPr>
          <w:p w14:paraId="2418470F" w14:textId="77777777" w:rsidR="00BD4D02" w:rsidRPr="00BD4D02" w:rsidRDefault="00BD4D02" w:rsidP="00BD4D02">
            <w:pPr>
              <w:rPr>
                <w:sz w:val="20"/>
                <w:szCs w:val="20"/>
              </w:rPr>
            </w:pPr>
          </w:p>
        </w:tc>
        <w:tc>
          <w:tcPr>
            <w:tcW w:w="663" w:type="dxa"/>
            <w:shd w:val="clear" w:color="auto" w:fill="auto"/>
            <w:noWrap/>
            <w:vAlign w:val="bottom"/>
            <w:hideMark/>
          </w:tcPr>
          <w:p w14:paraId="526AC651" w14:textId="77777777" w:rsidR="00BD4D02" w:rsidRPr="00BD4D02" w:rsidRDefault="00BD4D02" w:rsidP="00BD4D02">
            <w:pPr>
              <w:rPr>
                <w:sz w:val="20"/>
                <w:szCs w:val="20"/>
              </w:rPr>
            </w:pPr>
          </w:p>
        </w:tc>
        <w:tc>
          <w:tcPr>
            <w:tcW w:w="663" w:type="dxa"/>
            <w:shd w:val="clear" w:color="auto" w:fill="auto"/>
            <w:noWrap/>
            <w:vAlign w:val="bottom"/>
            <w:hideMark/>
          </w:tcPr>
          <w:p w14:paraId="6546F048"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6D7CF8B5"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6E5E2FF0" w14:textId="77777777" w:rsidR="00BD4D02" w:rsidRPr="00BD4D02" w:rsidRDefault="00BD4D02" w:rsidP="00BD4D02">
            <w:pPr>
              <w:rPr>
                <w:sz w:val="20"/>
                <w:szCs w:val="20"/>
              </w:rPr>
            </w:pPr>
          </w:p>
        </w:tc>
        <w:tc>
          <w:tcPr>
            <w:tcW w:w="663" w:type="dxa"/>
            <w:shd w:val="clear" w:color="auto" w:fill="auto"/>
            <w:noWrap/>
            <w:vAlign w:val="bottom"/>
            <w:hideMark/>
          </w:tcPr>
          <w:p w14:paraId="2E61F184" w14:textId="77777777" w:rsidR="00BD4D02" w:rsidRPr="00BD4D02" w:rsidRDefault="00BD4D02" w:rsidP="00BD4D02">
            <w:pPr>
              <w:rPr>
                <w:sz w:val="20"/>
                <w:szCs w:val="20"/>
              </w:rPr>
            </w:pPr>
          </w:p>
        </w:tc>
        <w:tc>
          <w:tcPr>
            <w:tcW w:w="663" w:type="dxa"/>
            <w:shd w:val="clear" w:color="auto" w:fill="auto"/>
            <w:noWrap/>
            <w:vAlign w:val="bottom"/>
            <w:hideMark/>
          </w:tcPr>
          <w:p w14:paraId="7E7B1B02" w14:textId="77777777" w:rsidR="00BD4D02" w:rsidRPr="00BD4D02" w:rsidRDefault="00BD4D02" w:rsidP="00BD4D02">
            <w:pPr>
              <w:rPr>
                <w:sz w:val="20"/>
                <w:szCs w:val="20"/>
              </w:rPr>
            </w:pPr>
          </w:p>
        </w:tc>
        <w:tc>
          <w:tcPr>
            <w:tcW w:w="663" w:type="dxa"/>
            <w:shd w:val="clear" w:color="auto" w:fill="auto"/>
            <w:noWrap/>
            <w:vAlign w:val="bottom"/>
            <w:hideMark/>
          </w:tcPr>
          <w:p w14:paraId="53C8158F" w14:textId="77777777" w:rsidR="00BD4D02" w:rsidRPr="00BD4D02" w:rsidRDefault="00BD4D02" w:rsidP="00BD4D02">
            <w:pPr>
              <w:rPr>
                <w:sz w:val="20"/>
                <w:szCs w:val="20"/>
              </w:rPr>
            </w:pPr>
          </w:p>
        </w:tc>
        <w:tc>
          <w:tcPr>
            <w:tcW w:w="1180" w:type="dxa"/>
            <w:shd w:val="clear" w:color="auto" w:fill="auto"/>
            <w:noWrap/>
            <w:vAlign w:val="bottom"/>
            <w:hideMark/>
          </w:tcPr>
          <w:p w14:paraId="3DEFF647"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799878F4" w14:textId="77777777" w:rsidTr="00050580">
        <w:trPr>
          <w:trHeight w:val="144"/>
        </w:trPr>
        <w:tc>
          <w:tcPr>
            <w:tcW w:w="4500" w:type="dxa"/>
            <w:shd w:val="clear" w:color="auto" w:fill="auto"/>
            <w:noWrap/>
            <w:vAlign w:val="bottom"/>
            <w:hideMark/>
          </w:tcPr>
          <w:p w14:paraId="4047E9CC"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Prices - broadband - residential</w:t>
            </w:r>
          </w:p>
        </w:tc>
        <w:tc>
          <w:tcPr>
            <w:tcW w:w="770" w:type="dxa"/>
            <w:shd w:val="clear" w:color="auto" w:fill="auto"/>
            <w:noWrap/>
            <w:vAlign w:val="bottom"/>
            <w:hideMark/>
          </w:tcPr>
          <w:p w14:paraId="21E0FC0C"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4F321008" w14:textId="77777777" w:rsidR="00BD4D02" w:rsidRPr="00BD4D02" w:rsidRDefault="00BD4D02" w:rsidP="00BD4D02">
            <w:pPr>
              <w:rPr>
                <w:sz w:val="20"/>
                <w:szCs w:val="20"/>
              </w:rPr>
            </w:pPr>
          </w:p>
        </w:tc>
        <w:tc>
          <w:tcPr>
            <w:tcW w:w="663" w:type="dxa"/>
            <w:shd w:val="clear" w:color="auto" w:fill="auto"/>
            <w:noWrap/>
            <w:vAlign w:val="bottom"/>
            <w:hideMark/>
          </w:tcPr>
          <w:p w14:paraId="4E9DDB2C" w14:textId="77777777" w:rsidR="00BD4D02" w:rsidRPr="00BD4D02" w:rsidRDefault="00BD4D02" w:rsidP="00BD4D02">
            <w:pPr>
              <w:rPr>
                <w:sz w:val="20"/>
                <w:szCs w:val="20"/>
              </w:rPr>
            </w:pPr>
          </w:p>
        </w:tc>
        <w:tc>
          <w:tcPr>
            <w:tcW w:w="663" w:type="dxa"/>
            <w:shd w:val="clear" w:color="auto" w:fill="auto"/>
            <w:noWrap/>
            <w:vAlign w:val="bottom"/>
            <w:hideMark/>
          </w:tcPr>
          <w:p w14:paraId="18EDFFC7" w14:textId="77777777" w:rsidR="00BD4D02" w:rsidRPr="00BD4D02" w:rsidRDefault="00BD4D02" w:rsidP="00BD4D02">
            <w:pPr>
              <w:rPr>
                <w:sz w:val="20"/>
                <w:szCs w:val="20"/>
              </w:rPr>
            </w:pPr>
          </w:p>
        </w:tc>
        <w:tc>
          <w:tcPr>
            <w:tcW w:w="663" w:type="dxa"/>
            <w:shd w:val="clear" w:color="auto" w:fill="auto"/>
            <w:noWrap/>
            <w:vAlign w:val="bottom"/>
            <w:hideMark/>
          </w:tcPr>
          <w:p w14:paraId="7D7A3222" w14:textId="77777777" w:rsidR="00BD4D02" w:rsidRPr="00BD4D02" w:rsidRDefault="00BD4D02" w:rsidP="00BD4D02">
            <w:pPr>
              <w:rPr>
                <w:sz w:val="20"/>
                <w:szCs w:val="20"/>
              </w:rPr>
            </w:pPr>
          </w:p>
        </w:tc>
        <w:tc>
          <w:tcPr>
            <w:tcW w:w="663" w:type="dxa"/>
            <w:shd w:val="clear" w:color="auto" w:fill="auto"/>
            <w:noWrap/>
            <w:vAlign w:val="bottom"/>
            <w:hideMark/>
          </w:tcPr>
          <w:p w14:paraId="53E22F12" w14:textId="77777777" w:rsidR="00BD4D02" w:rsidRPr="00BD4D02" w:rsidRDefault="00BD4D02" w:rsidP="00BD4D02">
            <w:pPr>
              <w:rPr>
                <w:sz w:val="20"/>
                <w:szCs w:val="20"/>
              </w:rPr>
            </w:pPr>
          </w:p>
        </w:tc>
        <w:tc>
          <w:tcPr>
            <w:tcW w:w="663" w:type="dxa"/>
            <w:shd w:val="clear" w:color="auto" w:fill="auto"/>
            <w:noWrap/>
            <w:vAlign w:val="bottom"/>
            <w:hideMark/>
          </w:tcPr>
          <w:p w14:paraId="2734B4F6"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2C0EF8AA"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55666D8B"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55855AE4"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w:t>
            </w:r>
          </w:p>
        </w:tc>
        <w:tc>
          <w:tcPr>
            <w:tcW w:w="663" w:type="dxa"/>
            <w:shd w:val="clear" w:color="auto" w:fill="auto"/>
            <w:noWrap/>
            <w:vAlign w:val="bottom"/>
            <w:hideMark/>
          </w:tcPr>
          <w:p w14:paraId="77FCBE28"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6</w:t>
            </w:r>
          </w:p>
        </w:tc>
        <w:tc>
          <w:tcPr>
            <w:tcW w:w="663" w:type="dxa"/>
            <w:shd w:val="clear" w:color="auto" w:fill="auto"/>
            <w:noWrap/>
            <w:vAlign w:val="bottom"/>
            <w:hideMark/>
          </w:tcPr>
          <w:p w14:paraId="361802DC"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6</w:t>
            </w:r>
          </w:p>
        </w:tc>
        <w:tc>
          <w:tcPr>
            <w:tcW w:w="1180" w:type="dxa"/>
            <w:shd w:val="clear" w:color="auto" w:fill="auto"/>
            <w:noWrap/>
            <w:vAlign w:val="bottom"/>
            <w:hideMark/>
          </w:tcPr>
          <w:p w14:paraId="5232955A"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18</w:t>
            </w:r>
          </w:p>
        </w:tc>
      </w:tr>
      <w:tr w:rsidR="00BD4D02" w:rsidRPr="00BD4D02" w14:paraId="691960F3" w14:textId="77777777" w:rsidTr="00050580">
        <w:trPr>
          <w:trHeight w:val="144"/>
        </w:trPr>
        <w:tc>
          <w:tcPr>
            <w:tcW w:w="4500" w:type="dxa"/>
            <w:shd w:val="clear" w:color="auto" w:fill="auto"/>
            <w:noWrap/>
            <w:vAlign w:val="bottom"/>
            <w:hideMark/>
          </w:tcPr>
          <w:p w14:paraId="696531FB"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Prices - communications</w:t>
            </w:r>
          </w:p>
        </w:tc>
        <w:tc>
          <w:tcPr>
            <w:tcW w:w="770" w:type="dxa"/>
            <w:shd w:val="clear" w:color="auto" w:fill="auto"/>
            <w:noWrap/>
            <w:vAlign w:val="bottom"/>
            <w:hideMark/>
          </w:tcPr>
          <w:p w14:paraId="6A3B686F"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04226D0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37BC6A73"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524C8243" w14:textId="77777777" w:rsidR="00BD4D02" w:rsidRPr="00BD4D02" w:rsidRDefault="00BD4D02" w:rsidP="00BD4D02">
            <w:pPr>
              <w:rPr>
                <w:sz w:val="20"/>
                <w:szCs w:val="20"/>
              </w:rPr>
            </w:pPr>
          </w:p>
        </w:tc>
        <w:tc>
          <w:tcPr>
            <w:tcW w:w="663" w:type="dxa"/>
            <w:shd w:val="clear" w:color="auto" w:fill="auto"/>
            <w:noWrap/>
            <w:vAlign w:val="bottom"/>
            <w:hideMark/>
          </w:tcPr>
          <w:p w14:paraId="5C2E1EED" w14:textId="77777777" w:rsidR="00BD4D02" w:rsidRPr="00BD4D02" w:rsidRDefault="00BD4D02" w:rsidP="00BD4D02">
            <w:pPr>
              <w:rPr>
                <w:sz w:val="20"/>
                <w:szCs w:val="20"/>
              </w:rPr>
            </w:pPr>
          </w:p>
        </w:tc>
        <w:tc>
          <w:tcPr>
            <w:tcW w:w="663" w:type="dxa"/>
            <w:shd w:val="clear" w:color="auto" w:fill="auto"/>
            <w:noWrap/>
            <w:vAlign w:val="bottom"/>
            <w:hideMark/>
          </w:tcPr>
          <w:p w14:paraId="70655B16" w14:textId="77777777" w:rsidR="00BD4D02" w:rsidRPr="00BD4D02" w:rsidRDefault="00BD4D02" w:rsidP="00BD4D02">
            <w:pPr>
              <w:rPr>
                <w:sz w:val="20"/>
                <w:szCs w:val="20"/>
              </w:rPr>
            </w:pPr>
          </w:p>
        </w:tc>
        <w:tc>
          <w:tcPr>
            <w:tcW w:w="663" w:type="dxa"/>
            <w:shd w:val="clear" w:color="auto" w:fill="auto"/>
            <w:noWrap/>
            <w:vAlign w:val="bottom"/>
            <w:hideMark/>
          </w:tcPr>
          <w:p w14:paraId="7B6457E5" w14:textId="77777777" w:rsidR="00BD4D02" w:rsidRPr="00BD4D02" w:rsidRDefault="00BD4D02" w:rsidP="00BD4D02">
            <w:pPr>
              <w:rPr>
                <w:sz w:val="20"/>
                <w:szCs w:val="20"/>
              </w:rPr>
            </w:pPr>
          </w:p>
        </w:tc>
        <w:tc>
          <w:tcPr>
            <w:tcW w:w="663" w:type="dxa"/>
            <w:shd w:val="clear" w:color="auto" w:fill="auto"/>
            <w:noWrap/>
            <w:vAlign w:val="bottom"/>
            <w:hideMark/>
          </w:tcPr>
          <w:p w14:paraId="538CE49A" w14:textId="77777777" w:rsidR="00BD4D02" w:rsidRPr="00BD4D02" w:rsidRDefault="00BD4D02" w:rsidP="00BD4D02">
            <w:pPr>
              <w:rPr>
                <w:sz w:val="20"/>
                <w:szCs w:val="20"/>
              </w:rPr>
            </w:pPr>
          </w:p>
        </w:tc>
        <w:tc>
          <w:tcPr>
            <w:tcW w:w="663" w:type="dxa"/>
            <w:shd w:val="clear" w:color="auto" w:fill="auto"/>
            <w:noWrap/>
            <w:vAlign w:val="bottom"/>
            <w:hideMark/>
          </w:tcPr>
          <w:p w14:paraId="5F2ABDE3" w14:textId="77777777" w:rsidR="00BD4D02" w:rsidRPr="00BD4D02" w:rsidRDefault="00BD4D02" w:rsidP="00BD4D02">
            <w:pPr>
              <w:rPr>
                <w:sz w:val="20"/>
                <w:szCs w:val="20"/>
              </w:rPr>
            </w:pPr>
          </w:p>
        </w:tc>
        <w:tc>
          <w:tcPr>
            <w:tcW w:w="663" w:type="dxa"/>
            <w:shd w:val="clear" w:color="auto" w:fill="auto"/>
            <w:noWrap/>
            <w:vAlign w:val="bottom"/>
            <w:hideMark/>
          </w:tcPr>
          <w:p w14:paraId="05C3946C" w14:textId="77777777" w:rsidR="00BD4D02" w:rsidRPr="00BD4D02" w:rsidRDefault="00BD4D02" w:rsidP="00BD4D02">
            <w:pPr>
              <w:rPr>
                <w:sz w:val="20"/>
                <w:szCs w:val="20"/>
              </w:rPr>
            </w:pPr>
          </w:p>
        </w:tc>
        <w:tc>
          <w:tcPr>
            <w:tcW w:w="663" w:type="dxa"/>
            <w:shd w:val="clear" w:color="auto" w:fill="auto"/>
            <w:noWrap/>
            <w:vAlign w:val="bottom"/>
            <w:hideMark/>
          </w:tcPr>
          <w:p w14:paraId="3B219660"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1292C1FC"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1180" w:type="dxa"/>
            <w:shd w:val="clear" w:color="auto" w:fill="auto"/>
            <w:noWrap/>
            <w:vAlign w:val="bottom"/>
            <w:hideMark/>
          </w:tcPr>
          <w:p w14:paraId="2328A39C"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4</w:t>
            </w:r>
          </w:p>
        </w:tc>
      </w:tr>
      <w:tr w:rsidR="00BD4D02" w:rsidRPr="00BD4D02" w14:paraId="06E9897D" w14:textId="77777777" w:rsidTr="00050580">
        <w:trPr>
          <w:trHeight w:val="144"/>
        </w:trPr>
        <w:tc>
          <w:tcPr>
            <w:tcW w:w="4500" w:type="dxa"/>
            <w:shd w:val="clear" w:color="auto" w:fill="auto"/>
            <w:noWrap/>
            <w:vAlign w:val="bottom"/>
            <w:hideMark/>
          </w:tcPr>
          <w:p w14:paraId="0DA93CD9"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Prices - international</w:t>
            </w:r>
          </w:p>
        </w:tc>
        <w:tc>
          <w:tcPr>
            <w:tcW w:w="770" w:type="dxa"/>
            <w:shd w:val="clear" w:color="auto" w:fill="auto"/>
            <w:noWrap/>
            <w:vAlign w:val="bottom"/>
            <w:hideMark/>
          </w:tcPr>
          <w:p w14:paraId="308FF9E5"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w:t>
            </w:r>
          </w:p>
        </w:tc>
        <w:tc>
          <w:tcPr>
            <w:tcW w:w="663" w:type="dxa"/>
            <w:shd w:val="clear" w:color="auto" w:fill="auto"/>
            <w:noWrap/>
            <w:vAlign w:val="bottom"/>
            <w:hideMark/>
          </w:tcPr>
          <w:p w14:paraId="1E728E5A"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2BCBC31A" w14:textId="77777777" w:rsidR="00BD4D02" w:rsidRPr="00BD4D02" w:rsidRDefault="00BD4D02" w:rsidP="00BD4D02">
            <w:pPr>
              <w:rPr>
                <w:sz w:val="20"/>
                <w:szCs w:val="20"/>
              </w:rPr>
            </w:pPr>
          </w:p>
        </w:tc>
        <w:tc>
          <w:tcPr>
            <w:tcW w:w="663" w:type="dxa"/>
            <w:shd w:val="clear" w:color="auto" w:fill="auto"/>
            <w:noWrap/>
            <w:vAlign w:val="bottom"/>
            <w:hideMark/>
          </w:tcPr>
          <w:p w14:paraId="43087CF5" w14:textId="77777777" w:rsidR="00BD4D02" w:rsidRPr="00BD4D02" w:rsidRDefault="00BD4D02" w:rsidP="00BD4D02">
            <w:pPr>
              <w:rPr>
                <w:sz w:val="20"/>
                <w:szCs w:val="20"/>
              </w:rPr>
            </w:pPr>
          </w:p>
        </w:tc>
        <w:tc>
          <w:tcPr>
            <w:tcW w:w="663" w:type="dxa"/>
            <w:shd w:val="clear" w:color="auto" w:fill="auto"/>
            <w:noWrap/>
            <w:vAlign w:val="bottom"/>
            <w:hideMark/>
          </w:tcPr>
          <w:p w14:paraId="37AEABE8" w14:textId="77777777" w:rsidR="00BD4D02" w:rsidRPr="00BD4D02" w:rsidRDefault="00BD4D02" w:rsidP="00BD4D02">
            <w:pPr>
              <w:rPr>
                <w:sz w:val="20"/>
                <w:szCs w:val="20"/>
              </w:rPr>
            </w:pPr>
          </w:p>
        </w:tc>
        <w:tc>
          <w:tcPr>
            <w:tcW w:w="663" w:type="dxa"/>
            <w:shd w:val="clear" w:color="auto" w:fill="auto"/>
            <w:noWrap/>
            <w:vAlign w:val="bottom"/>
            <w:hideMark/>
          </w:tcPr>
          <w:p w14:paraId="4305A225" w14:textId="77777777" w:rsidR="00BD4D02" w:rsidRPr="00BD4D02" w:rsidRDefault="00BD4D02" w:rsidP="00BD4D02">
            <w:pPr>
              <w:rPr>
                <w:sz w:val="20"/>
                <w:szCs w:val="20"/>
              </w:rPr>
            </w:pPr>
          </w:p>
        </w:tc>
        <w:tc>
          <w:tcPr>
            <w:tcW w:w="663" w:type="dxa"/>
            <w:shd w:val="clear" w:color="auto" w:fill="auto"/>
            <w:noWrap/>
            <w:vAlign w:val="bottom"/>
            <w:hideMark/>
          </w:tcPr>
          <w:p w14:paraId="4A2A4E7E" w14:textId="77777777" w:rsidR="00BD4D02" w:rsidRPr="00BD4D02" w:rsidRDefault="00BD4D02" w:rsidP="00BD4D02">
            <w:pPr>
              <w:rPr>
                <w:sz w:val="20"/>
                <w:szCs w:val="20"/>
              </w:rPr>
            </w:pPr>
          </w:p>
        </w:tc>
        <w:tc>
          <w:tcPr>
            <w:tcW w:w="663" w:type="dxa"/>
            <w:shd w:val="clear" w:color="auto" w:fill="auto"/>
            <w:noWrap/>
            <w:vAlign w:val="bottom"/>
            <w:hideMark/>
          </w:tcPr>
          <w:p w14:paraId="54120493" w14:textId="77777777" w:rsidR="00BD4D02" w:rsidRPr="00BD4D02" w:rsidRDefault="00BD4D02" w:rsidP="00BD4D02">
            <w:pPr>
              <w:rPr>
                <w:sz w:val="20"/>
                <w:szCs w:val="20"/>
              </w:rPr>
            </w:pPr>
          </w:p>
        </w:tc>
        <w:tc>
          <w:tcPr>
            <w:tcW w:w="663" w:type="dxa"/>
            <w:shd w:val="clear" w:color="auto" w:fill="auto"/>
            <w:noWrap/>
            <w:vAlign w:val="bottom"/>
            <w:hideMark/>
          </w:tcPr>
          <w:p w14:paraId="52465C35" w14:textId="77777777" w:rsidR="00BD4D02" w:rsidRPr="00BD4D02" w:rsidRDefault="00BD4D02" w:rsidP="00BD4D02">
            <w:pPr>
              <w:rPr>
                <w:sz w:val="20"/>
                <w:szCs w:val="20"/>
              </w:rPr>
            </w:pPr>
          </w:p>
        </w:tc>
        <w:tc>
          <w:tcPr>
            <w:tcW w:w="663" w:type="dxa"/>
            <w:shd w:val="clear" w:color="auto" w:fill="auto"/>
            <w:noWrap/>
            <w:vAlign w:val="bottom"/>
            <w:hideMark/>
          </w:tcPr>
          <w:p w14:paraId="704C512A" w14:textId="77777777" w:rsidR="00BD4D02" w:rsidRPr="00BD4D02" w:rsidRDefault="00BD4D02" w:rsidP="00BD4D02">
            <w:pPr>
              <w:rPr>
                <w:sz w:val="20"/>
                <w:szCs w:val="20"/>
              </w:rPr>
            </w:pPr>
          </w:p>
        </w:tc>
        <w:tc>
          <w:tcPr>
            <w:tcW w:w="663" w:type="dxa"/>
            <w:shd w:val="clear" w:color="auto" w:fill="auto"/>
            <w:noWrap/>
            <w:vAlign w:val="bottom"/>
            <w:hideMark/>
          </w:tcPr>
          <w:p w14:paraId="3AD2B863" w14:textId="77777777" w:rsidR="00BD4D02" w:rsidRPr="00BD4D02" w:rsidRDefault="00BD4D02" w:rsidP="00BD4D02">
            <w:pPr>
              <w:rPr>
                <w:sz w:val="20"/>
                <w:szCs w:val="20"/>
              </w:rPr>
            </w:pPr>
          </w:p>
        </w:tc>
        <w:tc>
          <w:tcPr>
            <w:tcW w:w="663" w:type="dxa"/>
            <w:shd w:val="clear" w:color="auto" w:fill="auto"/>
            <w:noWrap/>
            <w:vAlign w:val="bottom"/>
            <w:hideMark/>
          </w:tcPr>
          <w:p w14:paraId="40F878D2" w14:textId="77777777" w:rsidR="00BD4D02" w:rsidRPr="00BD4D02" w:rsidRDefault="00BD4D02" w:rsidP="00BD4D02">
            <w:pPr>
              <w:rPr>
                <w:sz w:val="20"/>
                <w:szCs w:val="20"/>
              </w:rPr>
            </w:pPr>
          </w:p>
        </w:tc>
        <w:tc>
          <w:tcPr>
            <w:tcW w:w="1180" w:type="dxa"/>
            <w:shd w:val="clear" w:color="auto" w:fill="auto"/>
            <w:noWrap/>
            <w:vAlign w:val="bottom"/>
            <w:hideMark/>
          </w:tcPr>
          <w:p w14:paraId="173FD560"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w:t>
            </w:r>
          </w:p>
        </w:tc>
      </w:tr>
      <w:tr w:rsidR="00BD4D02" w:rsidRPr="00BD4D02" w14:paraId="33C4DDA2" w14:textId="77777777" w:rsidTr="00050580">
        <w:trPr>
          <w:trHeight w:val="144"/>
        </w:trPr>
        <w:tc>
          <w:tcPr>
            <w:tcW w:w="4500" w:type="dxa"/>
            <w:shd w:val="clear" w:color="auto" w:fill="auto"/>
            <w:noWrap/>
            <w:vAlign w:val="bottom"/>
            <w:hideMark/>
          </w:tcPr>
          <w:p w14:paraId="484C2A12"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Prices - Internet</w:t>
            </w:r>
          </w:p>
        </w:tc>
        <w:tc>
          <w:tcPr>
            <w:tcW w:w="770" w:type="dxa"/>
            <w:shd w:val="clear" w:color="auto" w:fill="auto"/>
            <w:noWrap/>
            <w:vAlign w:val="bottom"/>
            <w:hideMark/>
          </w:tcPr>
          <w:p w14:paraId="2CF6CE14"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134CB16E" w14:textId="77777777" w:rsidR="00BD4D02" w:rsidRPr="00BD4D02" w:rsidRDefault="00BD4D02" w:rsidP="00BD4D02">
            <w:pPr>
              <w:rPr>
                <w:sz w:val="20"/>
                <w:szCs w:val="20"/>
              </w:rPr>
            </w:pPr>
          </w:p>
        </w:tc>
        <w:tc>
          <w:tcPr>
            <w:tcW w:w="663" w:type="dxa"/>
            <w:shd w:val="clear" w:color="auto" w:fill="auto"/>
            <w:noWrap/>
            <w:vAlign w:val="bottom"/>
            <w:hideMark/>
          </w:tcPr>
          <w:p w14:paraId="003F8C7A" w14:textId="77777777" w:rsidR="00BD4D02" w:rsidRPr="00BD4D02" w:rsidRDefault="00BD4D02" w:rsidP="00BD4D02">
            <w:pPr>
              <w:rPr>
                <w:sz w:val="20"/>
                <w:szCs w:val="20"/>
              </w:rPr>
            </w:pPr>
          </w:p>
        </w:tc>
        <w:tc>
          <w:tcPr>
            <w:tcW w:w="663" w:type="dxa"/>
            <w:shd w:val="clear" w:color="auto" w:fill="auto"/>
            <w:noWrap/>
            <w:vAlign w:val="bottom"/>
            <w:hideMark/>
          </w:tcPr>
          <w:p w14:paraId="20FCCAB0" w14:textId="77777777" w:rsidR="00BD4D02" w:rsidRPr="00BD4D02" w:rsidRDefault="00BD4D02" w:rsidP="00BD4D02">
            <w:pPr>
              <w:rPr>
                <w:sz w:val="20"/>
                <w:szCs w:val="20"/>
              </w:rPr>
            </w:pPr>
          </w:p>
        </w:tc>
        <w:tc>
          <w:tcPr>
            <w:tcW w:w="663" w:type="dxa"/>
            <w:shd w:val="clear" w:color="auto" w:fill="auto"/>
            <w:noWrap/>
            <w:vAlign w:val="bottom"/>
            <w:hideMark/>
          </w:tcPr>
          <w:p w14:paraId="1CF8756B" w14:textId="77777777" w:rsidR="00BD4D02" w:rsidRPr="00BD4D02" w:rsidRDefault="00BD4D02" w:rsidP="00BD4D02">
            <w:pPr>
              <w:rPr>
                <w:sz w:val="20"/>
                <w:szCs w:val="20"/>
              </w:rPr>
            </w:pPr>
          </w:p>
        </w:tc>
        <w:tc>
          <w:tcPr>
            <w:tcW w:w="663" w:type="dxa"/>
            <w:shd w:val="clear" w:color="auto" w:fill="auto"/>
            <w:noWrap/>
            <w:vAlign w:val="bottom"/>
            <w:hideMark/>
          </w:tcPr>
          <w:p w14:paraId="02BD4392" w14:textId="77777777" w:rsidR="00BD4D02" w:rsidRPr="00BD4D02" w:rsidRDefault="00BD4D02" w:rsidP="00BD4D02">
            <w:pPr>
              <w:rPr>
                <w:sz w:val="20"/>
                <w:szCs w:val="20"/>
              </w:rPr>
            </w:pPr>
          </w:p>
        </w:tc>
        <w:tc>
          <w:tcPr>
            <w:tcW w:w="663" w:type="dxa"/>
            <w:shd w:val="clear" w:color="auto" w:fill="auto"/>
            <w:noWrap/>
            <w:vAlign w:val="bottom"/>
            <w:hideMark/>
          </w:tcPr>
          <w:p w14:paraId="31D5E645" w14:textId="77777777" w:rsidR="00BD4D02" w:rsidRPr="00BD4D02" w:rsidRDefault="00BD4D02" w:rsidP="00BD4D02">
            <w:pPr>
              <w:rPr>
                <w:sz w:val="20"/>
                <w:szCs w:val="20"/>
              </w:rPr>
            </w:pPr>
          </w:p>
        </w:tc>
        <w:tc>
          <w:tcPr>
            <w:tcW w:w="663" w:type="dxa"/>
            <w:shd w:val="clear" w:color="auto" w:fill="auto"/>
            <w:noWrap/>
            <w:vAlign w:val="bottom"/>
            <w:hideMark/>
          </w:tcPr>
          <w:p w14:paraId="75EFC1AD" w14:textId="77777777" w:rsidR="00BD4D02" w:rsidRPr="00BD4D02" w:rsidRDefault="00BD4D02" w:rsidP="00BD4D02">
            <w:pPr>
              <w:rPr>
                <w:sz w:val="20"/>
                <w:szCs w:val="20"/>
              </w:rPr>
            </w:pPr>
          </w:p>
        </w:tc>
        <w:tc>
          <w:tcPr>
            <w:tcW w:w="663" w:type="dxa"/>
            <w:shd w:val="clear" w:color="auto" w:fill="auto"/>
            <w:noWrap/>
            <w:vAlign w:val="bottom"/>
            <w:hideMark/>
          </w:tcPr>
          <w:p w14:paraId="09E60E2D" w14:textId="77777777" w:rsidR="00BD4D02" w:rsidRPr="00BD4D02" w:rsidRDefault="00BD4D02" w:rsidP="00BD4D02">
            <w:pPr>
              <w:rPr>
                <w:sz w:val="20"/>
                <w:szCs w:val="20"/>
              </w:rPr>
            </w:pPr>
          </w:p>
        </w:tc>
        <w:tc>
          <w:tcPr>
            <w:tcW w:w="663" w:type="dxa"/>
            <w:shd w:val="clear" w:color="auto" w:fill="auto"/>
            <w:noWrap/>
            <w:vAlign w:val="bottom"/>
            <w:hideMark/>
          </w:tcPr>
          <w:p w14:paraId="59BA7F6E" w14:textId="77777777" w:rsidR="00BD4D02" w:rsidRPr="00BD4D02" w:rsidRDefault="00BD4D02" w:rsidP="00BD4D02">
            <w:pPr>
              <w:rPr>
                <w:sz w:val="20"/>
                <w:szCs w:val="20"/>
              </w:rPr>
            </w:pPr>
          </w:p>
        </w:tc>
        <w:tc>
          <w:tcPr>
            <w:tcW w:w="663" w:type="dxa"/>
            <w:shd w:val="clear" w:color="auto" w:fill="auto"/>
            <w:noWrap/>
            <w:vAlign w:val="bottom"/>
            <w:hideMark/>
          </w:tcPr>
          <w:p w14:paraId="62B789CF" w14:textId="77777777" w:rsidR="00BD4D02" w:rsidRPr="00BD4D02" w:rsidRDefault="00BD4D02" w:rsidP="00BD4D02">
            <w:pPr>
              <w:rPr>
                <w:sz w:val="20"/>
                <w:szCs w:val="20"/>
              </w:rPr>
            </w:pPr>
          </w:p>
        </w:tc>
        <w:tc>
          <w:tcPr>
            <w:tcW w:w="663" w:type="dxa"/>
            <w:shd w:val="clear" w:color="auto" w:fill="auto"/>
            <w:noWrap/>
            <w:vAlign w:val="bottom"/>
            <w:hideMark/>
          </w:tcPr>
          <w:p w14:paraId="362EA4CA"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1180" w:type="dxa"/>
            <w:shd w:val="clear" w:color="auto" w:fill="auto"/>
            <w:noWrap/>
            <w:vAlign w:val="bottom"/>
            <w:hideMark/>
          </w:tcPr>
          <w:p w14:paraId="3674A403"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6C9DC16B" w14:textId="77777777" w:rsidTr="00050580">
        <w:trPr>
          <w:trHeight w:val="144"/>
        </w:trPr>
        <w:tc>
          <w:tcPr>
            <w:tcW w:w="4500" w:type="dxa"/>
            <w:shd w:val="clear" w:color="auto" w:fill="auto"/>
            <w:noWrap/>
            <w:vAlign w:val="bottom"/>
            <w:hideMark/>
          </w:tcPr>
          <w:p w14:paraId="227761D3"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lastRenderedPageBreak/>
              <w:t>Prices - Internet - residential</w:t>
            </w:r>
          </w:p>
        </w:tc>
        <w:tc>
          <w:tcPr>
            <w:tcW w:w="770" w:type="dxa"/>
            <w:shd w:val="clear" w:color="auto" w:fill="auto"/>
            <w:noWrap/>
            <w:vAlign w:val="bottom"/>
            <w:hideMark/>
          </w:tcPr>
          <w:p w14:paraId="58F0AA8D"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23CBC754"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5BAAAEC4"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3DFF7975"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0CE358B2"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08CE5A51"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6F6B8AFF" w14:textId="77777777" w:rsidR="00BD4D02" w:rsidRPr="00BD4D02" w:rsidRDefault="00BD4D02" w:rsidP="00BD4D02">
            <w:pPr>
              <w:rPr>
                <w:sz w:val="20"/>
                <w:szCs w:val="20"/>
              </w:rPr>
            </w:pPr>
          </w:p>
        </w:tc>
        <w:tc>
          <w:tcPr>
            <w:tcW w:w="663" w:type="dxa"/>
            <w:shd w:val="clear" w:color="auto" w:fill="auto"/>
            <w:noWrap/>
            <w:vAlign w:val="bottom"/>
            <w:hideMark/>
          </w:tcPr>
          <w:p w14:paraId="0BC053F9" w14:textId="77777777" w:rsidR="00BD4D02" w:rsidRPr="00BD4D02" w:rsidRDefault="00BD4D02" w:rsidP="00BD4D02">
            <w:pPr>
              <w:rPr>
                <w:sz w:val="20"/>
                <w:szCs w:val="20"/>
              </w:rPr>
            </w:pPr>
          </w:p>
        </w:tc>
        <w:tc>
          <w:tcPr>
            <w:tcW w:w="663" w:type="dxa"/>
            <w:shd w:val="clear" w:color="auto" w:fill="auto"/>
            <w:noWrap/>
            <w:vAlign w:val="bottom"/>
            <w:hideMark/>
          </w:tcPr>
          <w:p w14:paraId="6C622A55" w14:textId="77777777" w:rsidR="00BD4D02" w:rsidRPr="00BD4D02" w:rsidRDefault="00BD4D02" w:rsidP="00BD4D02">
            <w:pPr>
              <w:rPr>
                <w:sz w:val="20"/>
                <w:szCs w:val="20"/>
              </w:rPr>
            </w:pPr>
          </w:p>
        </w:tc>
        <w:tc>
          <w:tcPr>
            <w:tcW w:w="663" w:type="dxa"/>
            <w:shd w:val="clear" w:color="auto" w:fill="auto"/>
            <w:noWrap/>
            <w:vAlign w:val="bottom"/>
            <w:hideMark/>
          </w:tcPr>
          <w:p w14:paraId="0CFEE589" w14:textId="77777777" w:rsidR="00BD4D02" w:rsidRPr="00BD4D02" w:rsidRDefault="00BD4D02" w:rsidP="00BD4D02">
            <w:pPr>
              <w:rPr>
                <w:sz w:val="20"/>
                <w:szCs w:val="20"/>
              </w:rPr>
            </w:pPr>
          </w:p>
        </w:tc>
        <w:tc>
          <w:tcPr>
            <w:tcW w:w="663" w:type="dxa"/>
            <w:shd w:val="clear" w:color="auto" w:fill="auto"/>
            <w:noWrap/>
            <w:vAlign w:val="bottom"/>
            <w:hideMark/>
          </w:tcPr>
          <w:p w14:paraId="29B8668D" w14:textId="77777777" w:rsidR="00BD4D02" w:rsidRPr="00BD4D02" w:rsidRDefault="00BD4D02" w:rsidP="00BD4D02">
            <w:pPr>
              <w:rPr>
                <w:sz w:val="20"/>
                <w:szCs w:val="20"/>
              </w:rPr>
            </w:pPr>
          </w:p>
        </w:tc>
        <w:tc>
          <w:tcPr>
            <w:tcW w:w="663" w:type="dxa"/>
            <w:shd w:val="clear" w:color="auto" w:fill="auto"/>
            <w:noWrap/>
            <w:vAlign w:val="bottom"/>
            <w:hideMark/>
          </w:tcPr>
          <w:p w14:paraId="22430864" w14:textId="77777777" w:rsidR="00BD4D02" w:rsidRPr="00BD4D02" w:rsidRDefault="00BD4D02" w:rsidP="00BD4D02">
            <w:pPr>
              <w:rPr>
                <w:sz w:val="20"/>
                <w:szCs w:val="20"/>
              </w:rPr>
            </w:pPr>
          </w:p>
        </w:tc>
        <w:tc>
          <w:tcPr>
            <w:tcW w:w="1180" w:type="dxa"/>
            <w:shd w:val="clear" w:color="auto" w:fill="auto"/>
            <w:noWrap/>
            <w:vAlign w:val="bottom"/>
            <w:hideMark/>
          </w:tcPr>
          <w:p w14:paraId="00A59DA7"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4</w:t>
            </w:r>
          </w:p>
        </w:tc>
      </w:tr>
      <w:tr w:rsidR="00BD4D02" w:rsidRPr="00BD4D02" w14:paraId="77AF2EF9" w14:textId="77777777" w:rsidTr="00050580">
        <w:trPr>
          <w:trHeight w:val="144"/>
        </w:trPr>
        <w:tc>
          <w:tcPr>
            <w:tcW w:w="4500" w:type="dxa"/>
            <w:shd w:val="clear" w:color="auto" w:fill="auto"/>
            <w:noWrap/>
            <w:vAlign w:val="bottom"/>
            <w:hideMark/>
          </w:tcPr>
          <w:p w14:paraId="7B121716"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Prices - telephony</w:t>
            </w:r>
          </w:p>
        </w:tc>
        <w:tc>
          <w:tcPr>
            <w:tcW w:w="770" w:type="dxa"/>
            <w:shd w:val="clear" w:color="auto" w:fill="auto"/>
            <w:noWrap/>
            <w:vAlign w:val="bottom"/>
            <w:hideMark/>
          </w:tcPr>
          <w:p w14:paraId="000C9E0F"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7F184AAF" w14:textId="77777777" w:rsidR="00BD4D02" w:rsidRPr="00BD4D02" w:rsidRDefault="00BD4D02" w:rsidP="00BD4D02">
            <w:pPr>
              <w:rPr>
                <w:sz w:val="20"/>
                <w:szCs w:val="20"/>
              </w:rPr>
            </w:pPr>
          </w:p>
        </w:tc>
        <w:tc>
          <w:tcPr>
            <w:tcW w:w="663" w:type="dxa"/>
            <w:shd w:val="clear" w:color="auto" w:fill="auto"/>
            <w:noWrap/>
            <w:vAlign w:val="bottom"/>
            <w:hideMark/>
          </w:tcPr>
          <w:p w14:paraId="61F62657" w14:textId="77777777" w:rsidR="00BD4D02" w:rsidRPr="00BD4D02" w:rsidRDefault="00BD4D02" w:rsidP="00BD4D02">
            <w:pPr>
              <w:rPr>
                <w:sz w:val="20"/>
                <w:szCs w:val="20"/>
              </w:rPr>
            </w:pPr>
          </w:p>
        </w:tc>
        <w:tc>
          <w:tcPr>
            <w:tcW w:w="663" w:type="dxa"/>
            <w:shd w:val="clear" w:color="auto" w:fill="auto"/>
            <w:noWrap/>
            <w:vAlign w:val="bottom"/>
            <w:hideMark/>
          </w:tcPr>
          <w:p w14:paraId="3B29CE84" w14:textId="77777777" w:rsidR="00BD4D02" w:rsidRPr="00BD4D02" w:rsidRDefault="00BD4D02" w:rsidP="00BD4D02">
            <w:pPr>
              <w:rPr>
                <w:sz w:val="20"/>
                <w:szCs w:val="20"/>
              </w:rPr>
            </w:pPr>
          </w:p>
        </w:tc>
        <w:tc>
          <w:tcPr>
            <w:tcW w:w="663" w:type="dxa"/>
            <w:shd w:val="clear" w:color="auto" w:fill="auto"/>
            <w:noWrap/>
            <w:vAlign w:val="bottom"/>
            <w:hideMark/>
          </w:tcPr>
          <w:p w14:paraId="4DE481E8" w14:textId="77777777" w:rsidR="00BD4D02" w:rsidRPr="00BD4D02" w:rsidRDefault="00BD4D02" w:rsidP="00BD4D02">
            <w:pPr>
              <w:rPr>
                <w:sz w:val="20"/>
                <w:szCs w:val="20"/>
              </w:rPr>
            </w:pPr>
          </w:p>
        </w:tc>
        <w:tc>
          <w:tcPr>
            <w:tcW w:w="663" w:type="dxa"/>
            <w:shd w:val="clear" w:color="auto" w:fill="auto"/>
            <w:noWrap/>
            <w:vAlign w:val="bottom"/>
            <w:hideMark/>
          </w:tcPr>
          <w:p w14:paraId="525886F5"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293E5180"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56C975F0"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09BE5B3F" w14:textId="77777777" w:rsidR="00BD4D02" w:rsidRPr="00BD4D02" w:rsidRDefault="00BD4D02" w:rsidP="00BD4D02">
            <w:pPr>
              <w:rPr>
                <w:sz w:val="20"/>
                <w:szCs w:val="20"/>
              </w:rPr>
            </w:pPr>
          </w:p>
        </w:tc>
        <w:tc>
          <w:tcPr>
            <w:tcW w:w="663" w:type="dxa"/>
            <w:shd w:val="clear" w:color="auto" w:fill="auto"/>
            <w:noWrap/>
            <w:vAlign w:val="bottom"/>
            <w:hideMark/>
          </w:tcPr>
          <w:p w14:paraId="66BF384E"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w:t>
            </w:r>
          </w:p>
        </w:tc>
        <w:tc>
          <w:tcPr>
            <w:tcW w:w="663" w:type="dxa"/>
            <w:shd w:val="clear" w:color="auto" w:fill="auto"/>
            <w:noWrap/>
            <w:vAlign w:val="bottom"/>
            <w:hideMark/>
          </w:tcPr>
          <w:p w14:paraId="50DFFFEC"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3C69D6AD"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1180" w:type="dxa"/>
            <w:shd w:val="clear" w:color="auto" w:fill="auto"/>
            <w:noWrap/>
            <w:vAlign w:val="bottom"/>
            <w:hideMark/>
          </w:tcPr>
          <w:p w14:paraId="435D91CD"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6</w:t>
            </w:r>
          </w:p>
        </w:tc>
      </w:tr>
      <w:tr w:rsidR="00BD4D02" w:rsidRPr="00BD4D02" w14:paraId="5DF91844" w14:textId="77777777" w:rsidTr="00050580">
        <w:trPr>
          <w:trHeight w:val="144"/>
        </w:trPr>
        <w:tc>
          <w:tcPr>
            <w:tcW w:w="4500" w:type="dxa"/>
            <w:shd w:val="clear" w:color="auto" w:fill="auto"/>
            <w:noWrap/>
            <w:vAlign w:val="bottom"/>
            <w:hideMark/>
          </w:tcPr>
          <w:p w14:paraId="16AA0DEE"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Prices - wireless</w:t>
            </w:r>
          </w:p>
        </w:tc>
        <w:tc>
          <w:tcPr>
            <w:tcW w:w="770" w:type="dxa"/>
            <w:shd w:val="clear" w:color="auto" w:fill="auto"/>
            <w:noWrap/>
            <w:vAlign w:val="bottom"/>
            <w:hideMark/>
          </w:tcPr>
          <w:p w14:paraId="14E52686"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3603ABF6" w14:textId="77777777" w:rsidR="00BD4D02" w:rsidRPr="00BD4D02" w:rsidRDefault="00BD4D02" w:rsidP="00BD4D02">
            <w:pPr>
              <w:rPr>
                <w:sz w:val="20"/>
                <w:szCs w:val="20"/>
              </w:rPr>
            </w:pPr>
          </w:p>
        </w:tc>
        <w:tc>
          <w:tcPr>
            <w:tcW w:w="663" w:type="dxa"/>
            <w:shd w:val="clear" w:color="auto" w:fill="auto"/>
            <w:noWrap/>
            <w:vAlign w:val="bottom"/>
            <w:hideMark/>
          </w:tcPr>
          <w:p w14:paraId="45E8C892" w14:textId="77777777" w:rsidR="00BD4D02" w:rsidRPr="00BD4D02" w:rsidRDefault="00BD4D02" w:rsidP="00BD4D02">
            <w:pPr>
              <w:rPr>
                <w:sz w:val="20"/>
                <w:szCs w:val="20"/>
              </w:rPr>
            </w:pPr>
          </w:p>
        </w:tc>
        <w:tc>
          <w:tcPr>
            <w:tcW w:w="663" w:type="dxa"/>
            <w:shd w:val="clear" w:color="auto" w:fill="auto"/>
            <w:noWrap/>
            <w:vAlign w:val="bottom"/>
            <w:hideMark/>
          </w:tcPr>
          <w:p w14:paraId="0E635877" w14:textId="77777777" w:rsidR="00BD4D02" w:rsidRPr="00BD4D02" w:rsidRDefault="00BD4D02" w:rsidP="00BD4D02">
            <w:pPr>
              <w:rPr>
                <w:sz w:val="20"/>
                <w:szCs w:val="20"/>
              </w:rPr>
            </w:pPr>
          </w:p>
        </w:tc>
        <w:tc>
          <w:tcPr>
            <w:tcW w:w="663" w:type="dxa"/>
            <w:shd w:val="clear" w:color="auto" w:fill="auto"/>
            <w:noWrap/>
            <w:vAlign w:val="bottom"/>
            <w:hideMark/>
          </w:tcPr>
          <w:p w14:paraId="14459564" w14:textId="77777777" w:rsidR="00BD4D02" w:rsidRPr="00BD4D02" w:rsidRDefault="00BD4D02" w:rsidP="00BD4D02">
            <w:pPr>
              <w:rPr>
                <w:sz w:val="20"/>
                <w:szCs w:val="20"/>
              </w:rPr>
            </w:pPr>
          </w:p>
        </w:tc>
        <w:tc>
          <w:tcPr>
            <w:tcW w:w="663" w:type="dxa"/>
            <w:shd w:val="clear" w:color="auto" w:fill="auto"/>
            <w:noWrap/>
            <w:vAlign w:val="bottom"/>
            <w:hideMark/>
          </w:tcPr>
          <w:p w14:paraId="4C80CDBB" w14:textId="77777777" w:rsidR="00BD4D02" w:rsidRPr="00BD4D02" w:rsidRDefault="00BD4D02" w:rsidP="00BD4D02">
            <w:pPr>
              <w:rPr>
                <w:sz w:val="20"/>
                <w:szCs w:val="20"/>
              </w:rPr>
            </w:pPr>
          </w:p>
        </w:tc>
        <w:tc>
          <w:tcPr>
            <w:tcW w:w="663" w:type="dxa"/>
            <w:shd w:val="clear" w:color="auto" w:fill="auto"/>
            <w:noWrap/>
            <w:vAlign w:val="bottom"/>
            <w:hideMark/>
          </w:tcPr>
          <w:p w14:paraId="046165D0"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6</w:t>
            </w:r>
          </w:p>
        </w:tc>
        <w:tc>
          <w:tcPr>
            <w:tcW w:w="663" w:type="dxa"/>
            <w:shd w:val="clear" w:color="auto" w:fill="auto"/>
            <w:noWrap/>
            <w:vAlign w:val="bottom"/>
            <w:hideMark/>
          </w:tcPr>
          <w:p w14:paraId="278B9F1A"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8</w:t>
            </w:r>
          </w:p>
        </w:tc>
        <w:tc>
          <w:tcPr>
            <w:tcW w:w="663" w:type="dxa"/>
            <w:shd w:val="clear" w:color="auto" w:fill="auto"/>
            <w:noWrap/>
            <w:vAlign w:val="bottom"/>
            <w:hideMark/>
          </w:tcPr>
          <w:p w14:paraId="32636750"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8</w:t>
            </w:r>
          </w:p>
        </w:tc>
        <w:tc>
          <w:tcPr>
            <w:tcW w:w="663" w:type="dxa"/>
            <w:shd w:val="clear" w:color="auto" w:fill="auto"/>
            <w:noWrap/>
            <w:vAlign w:val="bottom"/>
            <w:hideMark/>
          </w:tcPr>
          <w:p w14:paraId="2A7F2AC0"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8</w:t>
            </w:r>
          </w:p>
        </w:tc>
        <w:tc>
          <w:tcPr>
            <w:tcW w:w="663" w:type="dxa"/>
            <w:shd w:val="clear" w:color="auto" w:fill="auto"/>
            <w:noWrap/>
            <w:vAlign w:val="bottom"/>
            <w:hideMark/>
          </w:tcPr>
          <w:p w14:paraId="6B97D48D"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3AC20608"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8</w:t>
            </w:r>
          </w:p>
        </w:tc>
        <w:tc>
          <w:tcPr>
            <w:tcW w:w="1180" w:type="dxa"/>
            <w:shd w:val="clear" w:color="auto" w:fill="auto"/>
            <w:noWrap/>
            <w:vAlign w:val="bottom"/>
            <w:hideMark/>
          </w:tcPr>
          <w:p w14:paraId="406E2E75"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38</w:t>
            </w:r>
          </w:p>
        </w:tc>
      </w:tr>
      <w:tr w:rsidR="00BD4D02" w:rsidRPr="00BD4D02" w14:paraId="0075A731" w14:textId="77777777" w:rsidTr="00050580">
        <w:trPr>
          <w:trHeight w:val="144"/>
        </w:trPr>
        <w:tc>
          <w:tcPr>
            <w:tcW w:w="4500" w:type="dxa"/>
            <w:shd w:val="clear" w:color="auto" w:fill="auto"/>
            <w:noWrap/>
            <w:vAlign w:val="bottom"/>
            <w:hideMark/>
          </w:tcPr>
          <w:p w14:paraId="3824D9C5"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Prices - wireline</w:t>
            </w:r>
          </w:p>
        </w:tc>
        <w:tc>
          <w:tcPr>
            <w:tcW w:w="770" w:type="dxa"/>
            <w:shd w:val="clear" w:color="auto" w:fill="auto"/>
            <w:noWrap/>
            <w:vAlign w:val="bottom"/>
            <w:hideMark/>
          </w:tcPr>
          <w:p w14:paraId="78C33813"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744B251D" w14:textId="77777777" w:rsidR="00BD4D02" w:rsidRPr="00BD4D02" w:rsidRDefault="00BD4D02" w:rsidP="00BD4D02">
            <w:pPr>
              <w:rPr>
                <w:sz w:val="20"/>
                <w:szCs w:val="20"/>
              </w:rPr>
            </w:pPr>
          </w:p>
        </w:tc>
        <w:tc>
          <w:tcPr>
            <w:tcW w:w="663" w:type="dxa"/>
            <w:shd w:val="clear" w:color="auto" w:fill="auto"/>
            <w:noWrap/>
            <w:vAlign w:val="bottom"/>
            <w:hideMark/>
          </w:tcPr>
          <w:p w14:paraId="01DBBF40" w14:textId="77777777" w:rsidR="00BD4D02" w:rsidRPr="00BD4D02" w:rsidRDefault="00BD4D02" w:rsidP="00BD4D02">
            <w:pPr>
              <w:rPr>
                <w:sz w:val="20"/>
                <w:szCs w:val="20"/>
              </w:rPr>
            </w:pPr>
          </w:p>
        </w:tc>
        <w:tc>
          <w:tcPr>
            <w:tcW w:w="663" w:type="dxa"/>
            <w:shd w:val="clear" w:color="auto" w:fill="auto"/>
            <w:noWrap/>
            <w:vAlign w:val="bottom"/>
            <w:hideMark/>
          </w:tcPr>
          <w:p w14:paraId="6644BB83" w14:textId="77777777" w:rsidR="00BD4D02" w:rsidRPr="00BD4D02" w:rsidRDefault="00BD4D02" w:rsidP="00BD4D02">
            <w:pPr>
              <w:rPr>
                <w:sz w:val="20"/>
                <w:szCs w:val="20"/>
              </w:rPr>
            </w:pPr>
          </w:p>
        </w:tc>
        <w:tc>
          <w:tcPr>
            <w:tcW w:w="663" w:type="dxa"/>
            <w:shd w:val="clear" w:color="auto" w:fill="auto"/>
            <w:noWrap/>
            <w:vAlign w:val="bottom"/>
            <w:hideMark/>
          </w:tcPr>
          <w:p w14:paraId="75DA7272" w14:textId="77777777" w:rsidR="00BD4D02" w:rsidRPr="00BD4D02" w:rsidRDefault="00BD4D02" w:rsidP="00BD4D02">
            <w:pPr>
              <w:rPr>
                <w:sz w:val="20"/>
                <w:szCs w:val="20"/>
              </w:rPr>
            </w:pPr>
          </w:p>
        </w:tc>
        <w:tc>
          <w:tcPr>
            <w:tcW w:w="663" w:type="dxa"/>
            <w:shd w:val="clear" w:color="auto" w:fill="auto"/>
            <w:noWrap/>
            <w:vAlign w:val="bottom"/>
            <w:hideMark/>
          </w:tcPr>
          <w:p w14:paraId="586578CC" w14:textId="77777777" w:rsidR="00BD4D02" w:rsidRPr="00BD4D02" w:rsidRDefault="00BD4D02" w:rsidP="00BD4D02">
            <w:pPr>
              <w:rPr>
                <w:sz w:val="20"/>
                <w:szCs w:val="20"/>
              </w:rPr>
            </w:pPr>
          </w:p>
        </w:tc>
        <w:tc>
          <w:tcPr>
            <w:tcW w:w="663" w:type="dxa"/>
            <w:shd w:val="clear" w:color="auto" w:fill="auto"/>
            <w:noWrap/>
            <w:vAlign w:val="bottom"/>
            <w:hideMark/>
          </w:tcPr>
          <w:p w14:paraId="47D80DD7" w14:textId="77777777" w:rsidR="00BD4D02" w:rsidRPr="00BD4D02" w:rsidRDefault="00BD4D02" w:rsidP="00BD4D02">
            <w:pPr>
              <w:rPr>
                <w:sz w:val="20"/>
                <w:szCs w:val="20"/>
              </w:rPr>
            </w:pPr>
          </w:p>
        </w:tc>
        <w:tc>
          <w:tcPr>
            <w:tcW w:w="663" w:type="dxa"/>
            <w:shd w:val="clear" w:color="auto" w:fill="auto"/>
            <w:noWrap/>
            <w:vAlign w:val="bottom"/>
            <w:hideMark/>
          </w:tcPr>
          <w:p w14:paraId="4697C1E1" w14:textId="77777777" w:rsidR="00BD4D02" w:rsidRPr="00BD4D02" w:rsidRDefault="00BD4D02" w:rsidP="00BD4D02">
            <w:pPr>
              <w:rPr>
                <w:sz w:val="20"/>
                <w:szCs w:val="20"/>
              </w:rPr>
            </w:pPr>
          </w:p>
        </w:tc>
        <w:tc>
          <w:tcPr>
            <w:tcW w:w="663" w:type="dxa"/>
            <w:shd w:val="clear" w:color="auto" w:fill="auto"/>
            <w:noWrap/>
            <w:vAlign w:val="bottom"/>
            <w:hideMark/>
          </w:tcPr>
          <w:p w14:paraId="46F5A73C" w14:textId="77777777" w:rsidR="00BD4D02" w:rsidRPr="00BD4D02" w:rsidRDefault="00BD4D02" w:rsidP="00BD4D02">
            <w:pPr>
              <w:rPr>
                <w:sz w:val="20"/>
                <w:szCs w:val="20"/>
              </w:rPr>
            </w:pPr>
          </w:p>
        </w:tc>
        <w:tc>
          <w:tcPr>
            <w:tcW w:w="663" w:type="dxa"/>
            <w:shd w:val="clear" w:color="auto" w:fill="auto"/>
            <w:noWrap/>
            <w:vAlign w:val="bottom"/>
            <w:hideMark/>
          </w:tcPr>
          <w:p w14:paraId="591D821C" w14:textId="77777777" w:rsidR="00BD4D02" w:rsidRPr="00BD4D02" w:rsidRDefault="00BD4D02" w:rsidP="00BD4D02">
            <w:pPr>
              <w:rPr>
                <w:sz w:val="20"/>
                <w:szCs w:val="20"/>
              </w:rPr>
            </w:pPr>
          </w:p>
        </w:tc>
        <w:tc>
          <w:tcPr>
            <w:tcW w:w="663" w:type="dxa"/>
            <w:shd w:val="clear" w:color="auto" w:fill="auto"/>
            <w:noWrap/>
            <w:vAlign w:val="bottom"/>
            <w:hideMark/>
          </w:tcPr>
          <w:p w14:paraId="5C1559CA"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3A22909F"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1180" w:type="dxa"/>
            <w:shd w:val="clear" w:color="auto" w:fill="auto"/>
            <w:noWrap/>
            <w:vAlign w:val="bottom"/>
            <w:hideMark/>
          </w:tcPr>
          <w:p w14:paraId="5B12EF5D"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4</w:t>
            </w:r>
          </w:p>
        </w:tc>
      </w:tr>
      <w:tr w:rsidR="00BD4D02" w:rsidRPr="00BD4D02" w14:paraId="0081FFAF" w14:textId="77777777" w:rsidTr="00050580">
        <w:trPr>
          <w:trHeight w:val="144"/>
        </w:trPr>
        <w:tc>
          <w:tcPr>
            <w:tcW w:w="4500" w:type="dxa"/>
            <w:shd w:val="clear" w:color="auto" w:fill="auto"/>
            <w:noWrap/>
            <w:vAlign w:val="bottom"/>
            <w:hideMark/>
          </w:tcPr>
          <w:p w14:paraId="3C9BC590"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Pricing - bundles</w:t>
            </w:r>
          </w:p>
        </w:tc>
        <w:tc>
          <w:tcPr>
            <w:tcW w:w="770" w:type="dxa"/>
            <w:shd w:val="clear" w:color="auto" w:fill="auto"/>
            <w:noWrap/>
            <w:vAlign w:val="bottom"/>
            <w:hideMark/>
          </w:tcPr>
          <w:p w14:paraId="3EF6F915"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23BE82C8" w14:textId="77777777" w:rsidR="00BD4D02" w:rsidRPr="00BD4D02" w:rsidRDefault="00BD4D02" w:rsidP="00BD4D02">
            <w:pPr>
              <w:rPr>
                <w:sz w:val="20"/>
                <w:szCs w:val="20"/>
              </w:rPr>
            </w:pPr>
          </w:p>
        </w:tc>
        <w:tc>
          <w:tcPr>
            <w:tcW w:w="663" w:type="dxa"/>
            <w:shd w:val="clear" w:color="auto" w:fill="auto"/>
            <w:noWrap/>
            <w:vAlign w:val="bottom"/>
            <w:hideMark/>
          </w:tcPr>
          <w:p w14:paraId="5EABF890" w14:textId="77777777" w:rsidR="00BD4D02" w:rsidRPr="00BD4D02" w:rsidRDefault="00BD4D02" w:rsidP="00BD4D02">
            <w:pPr>
              <w:rPr>
                <w:sz w:val="20"/>
                <w:szCs w:val="20"/>
              </w:rPr>
            </w:pPr>
          </w:p>
        </w:tc>
        <w:tc>
          <w:tcPr>
            <w:tcW w:w="663" w:type="dxa"/>
            <w:shd w:val="clear" w:color="auto" w:fill="auto"/>
            <w:noWrap/>
            <w:vAlign w:val="bottom"/>
            <w:hideMark/>
          </w:tcPr>
          <w:p w14:paraId="066B9837" w14:textId="77777777" w:rsidR="00BD4D02" w:rsidRPr="00BD4D02" w:rsidRDefault="00BD4D02" w:rsidP="00BD4D02">
            <w:pPr>
              <w:rPr>
                <w:sz w:val="20"/>
                <w:szCs w:val="20"/>
              </w:rPr>
            </w:pPr>
          </w:p>
        </w:tc>
        <w:tc>
          <w:tcPr>
            <w:tcW w:w="663" w:type="dxa"/>
            <w:shd w:val="clear" w:color="auto" w:fill="auto"/>
            <w:noWrap/>
            <w:vAlign w:val="bottom"/>
            <w:hideMark/>
          </w:tcPr>
          <w:p w14:paraId="68BB18AC" w14:textId="77777777" w:rsidR="00BD4D02" w:rsidRPr="00BD4D02" w:rsidRDefault="00BD4D02" w:rsidP="00BD4D02">
            <w:pPr>
              <w:rPr>
                <w:sz w:val="20"/>
                <w:szCs w:val="20"/>
              </w:rPr>
            </w:pPr>
          </w:p>
        </w:tc>
        <w:tc>
          <w:tcPr>
            <w:tcW w:w="663" w:type="dxa"/>
            <w:shd w:val="clear" w:color="auto" w:fill="auto"/>
            <w:noWrap/>
            <w:vAlign w:val="bottom"/>
            <w:hideMark/>
          </w:tcPr>
          <w:p w14:paraId="6CAE5C24" w14:textId="77777777" w:rsidR="00BD4D02" w:rsidRPr="00BD4D02" w:rsidRDefault="00BD4D02" w:rsidP="00BD4D02">
            <w:pPr>
              <w:rPr>
                <w:sz w:val="20"/>
                <w:szCs w:val="20"/>
              </w:rPr>
            </w:pPr>
          </w:p>
        </w:tc>
        <w:tc>
          <w:tcPr>
            <w:tcW w:w="663" w:type="dxa"/>
            <w:shd w:val="clear" w:color="auto" w:fill="auto"/>
            <w:noWrap/>
            <w:vAlign w:val="bottom"/>
            <w:hideMark/>
          </w:tcPr>
          <w:p w14:paraId="7811D33A"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5EE1458A"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0335A783" w14:textId="77777777" w:rsidR="00BD4D02" w:rsidRPr="00BD4D02" w:rsidRDefault="00BD4D02" w:rsidP="00BD4D02">
            <w:pPr>
              <w:rPr>
                <w:sz w:val="20"/>
                <w:szCs w:val="20"/>
              </w:rPr>
            </w:pPr>
          </w:p>
        </w:tc>
        <w:tc>
          <w:tcPr>
            <w:tcW w:w="663" w:type="dxa"/>
            <w:shd w:val="clear" w:color="auto" w:fill="auto"/>
            <w:noWrap/>
            <w:vAlign w:val="bottom"/>
            <w:hideMark/>
          </w:tcPr>
          <w:p w14:paraId="3C68010A" w14:textId="77777777" w:rsidR="00BD4D02" w:rsidRPr="00BD4D02" w:rsidRDefault="00BD4D02" w:rsidP="00BD4D02">
            <w:pPr>
              <w:rPr>
                <w:sz w:val="20"/>
                <w:szCs w:val="20"/>
              </w:rPr>
            </w:pPr>
          </w:p>
        </w:tc>
        <w:tc>
          <w:tcPr>
            <w:tcW w:w="663" w:type="dxa"/>
            <w:shd w:val="clear" w:color="auto" w:fill="auto"/>
            <w:noWrap/>
            <w:vAlign w:val="bottom"/>
            <w:hideMark/>
          </w:tcPr>
          <w:p w14:paraId="7CFCBC2A" w14:textId="77777777" w:rsidR="00BD4D02" w:rsidRPr="00BD4D02" w:rsidRDefault="00BD4D02" w:rsidP="00BD4D02">
            <w:pPr>
              <w:rPr>
                <w:sz w:val="20"/>
                <w:szCs w:val="20"/>
              </w:rPr>
            </w:pPr>
          </w:p>
        </w:tc>
        <w:tc>
          <w:tcPr>
            <w:tcW w:w="663" w:type="dxa"/>
            <w:shd w:val="clear" w:color="auto" w:fill="auto"/>
            <w:noWrap/>
            <w:vAlign w:val="bottom"/>
            <w:hideMark/>
          </w:tcPr>
          <w:p w14:paraId="06CB9ECF" w14:textId="77777777" w:rsidR="00BD4D02" w:rsidRPr="00BD4D02" w:rsidRDefault="00BD4D02" w:rsidP="00BD4D02">
            <w:pPr>
              <w:rPr>
                <w:sz w:val="20"/>
                <w:szCs w:val="20"/>
              </w:rPr>
            </w:pPr>
          </w:p>
        </w:tc>
        <w:tc>
          <w:tcPr>
            <w:tcW w:w="1180" w:type="dxa"/>
            <w:shd w:val="clear" w:color="auto" w:fill="auto"/>
            <w:noWrap/>
            <w:vAlign w:val="bottom"/>
            <w:hideMark/>
          </w:tcPr>
          <w:p w14:paraId="4C980EF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62B1D978" w14:textId="77777777" w:rsidTr="00050580">
        <w:trPr>
          <w:trHeight w:val="144"/>
        </w:trPr>
        <w:tc>
          <w:tcPr>
            <w:tcW w:w="4500" w:type="dxa"/>
            <w:shd w:val="clear" w:color="auto" w:fill="auto"/>
            <w:noWrap/>
            <w:vAlign w:val="bottom"/>
            <w:hideMark/>
          </w:tcPr>
          <w:p w14:paraId="163A7EAB"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Pricing - Internet</w:t>
            </w:r>
          </w:p>
        </w:tc>
        <w:tc>
          <w:tcPr>
            <w:tcW w:w="770" w:type="dxa"/>
            <w:shd w:val="clear" w:color="auto" w:fill="auto"/>
            <w:noWrap/>
            <w:vAlign w:val="bottom"/>
            <w:hideMark/>
          </w:tcPr>
          <w:p w14:paraId="5D1A3266"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510C54F3"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6123C0FF" w14:textId="77777777" w:rsidR="00BD4D02" w:rsidRPr="00BD4D02" w:rsidRDefault="00BD4D02" w:rsidP="00BD4D02">
            <w:pPr>
              <w:rPr>
                <w:sz w:val="20"/>
                <w:szCs w:val="20"/>
              </w:rPr>
            </w:pPr>
          </w:p>
        </w:tc>
        <w:tc>
          <w:tcPr>
            <w:tcW w:w="663" w:type="dxa"/>
            <w:shd w:val="clear" w:color="auto" w:fill="auto"/>
            <w:noWrap/>
            <w:vAlign w:val="bottom"/>
            <w:hideMark/>
          </w:tcPr>
          <w:p w14:paraId="33AFE4DB" w14:textId="77777777" w:rsidR="00BD4D02" w:rsidRPr="00BD4D02" w:rsidRDefault="00BD4D02" w:rsidP="00BD4D02">
            <w:pPr>
              <w:rPr>
                <w:sz w:val="20"/>
                <w:szCs w:val="20"/>
              </w:rPr>
            </w:pPr>
          </w:p>
        </w:tc>
        <w:tc>
          <w:tcPr>
            <w:tcW w:w="663" w:type="dxa"/>
            <w:shd w:val="clear" w:color="auto" w:fill="auto"/>
            <w:noWrap/>
            <w:vAlign w:val="bottom"/>
            <w:hideMark/>
          </w:tcPr>
          <w:p w14:paraId="7DEB86D0" w14:textId="77777777" w:rsidR="00BD4D02" w:rsidRPr="00BD4D02" w:rsidRDefault="00BD4D02" w:rsidP="00BD4D02">
            <w:pPr>
              <w:rPr>
                <w:sz w:val="20"/>
                <w:szCs w:val="20"/>
              </w:rPr>
            </w:pPr>
          </w:p>
        </w:tc>
        <w:tc>
          <w:tcPr>
            <w:tcW w:w="663" w:type="dxa"/>
            <w:shd w:val="clear" w:color="auto" w:fill="auto"/>
            <w:noWrap/>
            <w:vAlign w:val="bottom"/>
            <w:hideMark/>
          </w:tcPr>
          <w:p w14:paraId="4F9FD0EC" w14:textId="77777777" w:rsidR="00BD4D02" w:rsidRPr="00BD4D02" w:rsidRDefault="00BD4D02" w:rsidP="00BD4D02">
            <w:pPr>
              <w:rPr>
                <w:sz w:val="20"/>
                <w:szCs w:val="20"/>
              </w:rPr>
            </w:pPr>
          </w:p>
        </w:tc>
        <w:tc>
          <w:tcPr>
            <w:tcW w:w="663" w:type="dxa"/>
            <w:shd w:val="clear" w:color="auto" w:fill="auto"/>
            <w:noWrap/>
            <w:vAlign w:val="bottom"/>
            <w:hideMark/>
          </w:tcPr>
          <w:p w14:paraId="411ED536" w14:textId="77777777" w:rsidR="00BD4D02" w:rsidRPr="00BD4D02" w:rsidRDefault="00BD4D02" w:rsidP="00BD4D02">
            <w:pPr>
              <w:rPr>
                <w:sz w:val="20"/>
                <w:szCs w:val="20"/>
              </w:rPr>
            </w:pPr>
          </w:p>
        </w:tc>
        <w:tc>
          <w:tcPr>
            <w:tcW w:w="663" w:type="dxa"/>
            <w:shd w:val="clear" w:color="auto" w:fill="auto"/>
            <w:noWrap/>
            <w:vAlign w:val="bottom"/>
            <w:hideMark/>
          </w:tcPr>
          <w:p w14:paraId="56E64C89" w14:textId="77777777" w:rsidR="00BD4D02" w:rsidRPr="00BD4D02" w:rsidRDefault="00BD4D02" w:rsidP="00BD4D02">
            <w:pPr>
              <w:rPr>
                <w:sz w:val="20"/>
                <w:szCs w:val="20"/>
              </w:rPr>
            </w:pPr>
          </w:p>
        </w:tc>
        <w:tc>
          <w:tcPr>
            <w:tcW w:w="663" w:type="dxa"/>
            <w:shd w:val="clear" w:color="auto" w:fill="auto"/>
            <w:noWrap/>
            <w:vAlign w:val="bottom"/>
            <w:hideMark/>
          </w:tcPr>
          <w:p w14:paraId="5C130E64" w14:textId="77777777" w:rsidR="00BD4D02" w:rsidRPr="00BD4D02" w:rsidRDefault="00BD4D02" w:rsidP="00BD4D02">
            <w:pPr>
              <w:rPr>
                <w:sz w:val="20"/>
                <w:szCs w:val="20"/>
              </w:rPr>
            </w:pPr>
          </w:p>
        </w:tc>
        <w:tc>
          <w:tcPr>
            <w:tcW w:w="663" w:type="dxa"/>
            <w:shd w:val="clear" w:color="auto" w:fill="auto"/>
            <w:noWrap/>
            <w:vAlign w:val="bottom"/>
            <w:hideMark/>
          </w:tcPr>
          <w:p w14:paraId="621BFE5F" w14:textId="77777777" w:rsidR="00BD4D02" w:rsidRPr="00BD4D02" w:rsidRDefault="00BD4D02" w:rsidP="00BD4D02">
            <w:pPr>
              <w:rPr>
                <w:sz w:val="20"/>
                <w:szCs w:val="20"/>
              </w:rPr>
            </w:pPr>
          </w:p>
        </w:tc>
        <w:tc>
          <w:tcPr>
            <w:tcW w:w="663" w:type="dxa"/>
            <w:shd w:val="clear" w:color="auto" w:fill="auto"/>
            <w:noWrap/>
            <w:vAlign w:val="bottom"/>
            <w:hideMark/>
          </w:tcPr>
          <w:p w14:paraId="66FA7FDD" w14:textId="77777777" w:rsidR="00BD4D02" w:rsidRPr="00BD4D02" w:rsidRDefault="00BD4D02" w:rsidP="00BD4D02">
            <w:pPr>
              <w:rPr>
                <w:sz w:val="20"/>
                <w:szCs w:val="20"/>
              </w:rPr>
            </w:pPr>
          </w:p>
        </w:tc>
        <w:tc>
          <w:tcPr>
            <w:tcW w:w="663" w:type="dxa"/>
            <w:shd w:val="clear" w:color="auto" w:fill="auto"/>
            <w:noWrap/>
            <w:vAlign w:val="bottom"/>
            <w:hideMark/>
          </w:tcPr>
          <w:p w14:paraId="33083D11" w14:textId="77777777" w:rsidR="00BD4D02" w:rsidRPr="00BD4D02" w:rsidRDefault="00BD4D02" w:rsidP="00BD4D02">
            <w:pPr>
              <w:rPr>
                <w:sz w:val="20"/>
                <w:szCs w:val="20"/>
              </w:rPr>
            </w:pPr>
          </w:p>
        </w:tc>
        <w:tc>
          <w:tcPr>
            <w:tcW w:w="1180" w:type="dxa"/>
            <w:shd w:val="clear" w:color="auto" w:fill="auto"/>
            <w:noWrap/>
            <w:vAlign w:val="bottom"/>
            <w:hideMark/>
          </w:tcPr>
          <w:p w14:paraId="5E1B91B6"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610CE0B8" w14:textId="77777777" w:rsidTr="00050580">
        <w:trPr>
          <w:trHeight w:val="144"/>
        </w:trPr>
        <w:tc>
          <w:tcPr>
            <w:tcW w:w="4500" w:type="dxa"/>
            <w:shd w:val="clear" w:color="auto" w:fill="auto"/>
            <w:noWrap/>
            <w:vAlign w:val="bottom"/>
            <w:hideMark/>
          </w:tcPr>
          <w:p w14:paraId="5BF0AF14"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Pricing - wireless</w:t>
            </w:r>
          </w:p>
        </w:tc>
        <w:tc>
          <w:tcPr>
            <w:tcW w:w="770" w:type="dxa"/>
            <w:shd w:val="clear" w:color="auto" w:fill="auto"/>
            <w:noWrap/>
            <w:vAlign w:val="bottom"/>
            <w:hideMark/>
          </w:tcPr>
          <w:p w14:paraId="3B796DFA"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3C7CF63F" w14:textId="77777777" w:rsidR="00BD4D02" w:rsidRPr="00BD4D02" w:rsidRDefault="00BD4D02" w:rsidP="00BD4D02">
            <w:pPr>
              <w:rPr>
                <w:sz w:val="20"/>
                <w:szCs w:val="20"/>
              </w:rPr>
            </w:pPr>
          </w:p>
        </w:tc>
        <w:tc>
          <w:tcPr>
            <w:tcW w:w="663" w:type="dxa"/>
            <w:shd w:val="clear" w:color="auto" w:fill="auto"/>
            <w:noWrap/>
            <w:vAlign w:val="bottom"/>
            <w:hideMark/>
          </w:tcPr>
          <w:p w14:paraId="20FFB458" w14:textId="77777777" w:rsidR="00BD4D02" w:rsidRPr="00BD4D02" w:rsidRDefault="00BD4D02" w:rsidP="00BD4D02">
            <w:pPr>
              <w:rPr>
                <w:sz w:val="20"/>
                <w:szCs w:val="20"/>
              </w:rPr>
            </w:pPr>
          </w:p>
        </w:tc>
        <w:tc>
          <w:tcPr>
            <w:tcW w:w="663" w:type="dxa"/>
            <w:shd w:val="clear" w:color="auto" w:fill="auto"/>
            <w:noWrap/>
            <w:vAlign w:val="bottom"/>
            <w:hideMark/>
          </w:tcPr>
          <w:p w14:paraId="0CB64533" w14:textId="77777777" w:rsidR="00BD4D02" w:rsidRPr="00BD4D02" w:rsidRDefault="00BD4D02" w:rsidP="00BD4D02">
            <w:pPr>
              <w:rPr>
                <w:sz w:val="20"/>
                <w:szCs w:val="20"/>
              </w:rPr>
            </w:pPr>
          </w:p>
        </w:tc>
        <w:tc>
          <w:tcPr>
            <w:tcW w:w="663" w:type="dxa"/>
            <w:shd w:val="clear" w:color="auto" w:fill="auto"/>
            <w:noWrap/>
            <w:vAlign w:val="bottom"/>
            <w:hideMark/>
          </w:tcPr>
          <w:p w14:paraId="478975F7" w14:textId="77777777" w:rsidR="00BD4D02" w:rsidRPr="00BD4D02" w:rsidRDefault="00BD4D02" w:rsidP="00BD4D02">
            <w:pPr>
              <w:rPr>
                <w:sz w:val="20"/>
                <w:szCs w:val="20"/>
              </w:rPr>
            </w:pPr>
          </w:p>
        </w:tc>
        <w:tc>
          <w:tcPr>
            <w:tcW w:w="663" w:type="dxa"/>
            <w:shd w:val="clear" w:color="auto" w:fill="auto"/>
            <w:noWrap/>
            <w:vAlign w:val="bottom"/>
            <w:hideMark/>
          </w:tcPr>
          <w:p w14:paraId="7F7F66A8" w14:textId="77777777" w:rsidR="00BD4D02" w:rsidRPr="00BD4D02" w:rsidRDefault="00BD4D02" w:rsidP="00BD4D02">
            <w:pPr>
              <w:rPr>
                <w:sz w:val="20"/>
                <w:szCs w:val="20"/>
              </w:rPr>
            </w:pPr>
          </w:p>
        </w:tc>
        <w:tc>
          <w:tcPr>
            <w:tcW w:w="663" w:type="dxa"/>
            <w:shd w:val="clear" w:color="auto" w:fill="auto"/>
            <w:noWrap/>
            <w:vAlign w:val="bottom"/>
            <w:hideMark/>
          </w:tcPr>
          <w:p w14:paraId="55924ABE" w14:textId="77777777" w:rsidR="00BD4D02" w:rsidRPr="00BD4D02" w:rsidRDefault="00BD4D02" w:rsidP="00BD4D02">
            <w:pPr>
              <w:rPr>
                <w:sz w:val="20"/>
                <w:szCs w:val="20"/>
              </w:rPr>
            </w:pPr>
          </w:p>
        </w:tc>
        <w:tc>
          <w:tcPr>
            <w:tcW w:w="663" w:type="dxa"/>
            <w:shd w:val="clear" w:color="auto" w:fill="auto"/>
            <w:noWrap/>
            <w:vAlign w:val="bottom"/>
            <w:hideMark/>
          </w:tcPr>
          <w:p w14:paraId="684A43D9" w14:textId="77777777" w:rsidR="00BD4D02" w:rsidRPr="00BD4D02" w:rsidRDefault="00BD4D02" w:rsidP="00BD4D02">
            <w:pPr>
              <w:rPr>
                <w:sz w:val="20"/>
                <w:szCs w:val="20"/>
              </w:rPr>
            </w:pPr>
          </w:p>
        </w:tc>
        <w:tc>
          <w:tcPr>
            <w:tcW w:w="663" w:type="dxa"/>
            <w:shd w:val="clear" w:color="auto" w:fill="auto"/>
            <w:noWrap/>
            <w:vAlign w:val="bottom"/>
            <w:hideMark/>
          </w:tcPr>
          <w:p w14:paraId="0419BA19" w14:textId="77777777" w:rsidR="00BD4D02" w:rsidRPr="00BD4D02" w:rsidRDefault="00BD4D02" w:rsidP="00BD4D02">
            <w:pPr>
              <w:rPr>
                <w:sz w:val="20"/>
                <w:szCs w:val="20"/>
              </w:rPr>
            </w:pPr>
          </w:p>
        </w:tc>
        <w:tc>
          <w:tcPr>
            <w:tcW w:w="663" w:type="dxa"/>
            <w:shd w:val="clear" w:color="auto" w:fill="auto"/>
            <w:noWrap/>
            <w:vAlign w:val="bottom"/>
            <w:hideMark/>
          </w:tcPr>
          <w:p w14:paraId="6A04F186"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5AB29478"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0FF6A3ED" w14:textId="77777777" w:rsidR="00BD4D02" w:rsidRPr="00BD4D02" w:rsidRDefault="00BD4D02" w:rsidP="00BD4D02">
            <w:pPr>
              <w:rPr>
                <w:sz w:val="20"/>
                <w:szCs w:val="20"/>
              </w:rPr>
            </w:pPr>
          </w:p>
        </w:tc>
        <w:tc>
          <w:tcPr>
            <w:tcW w:w="1180" w:type="dxa"/>
            <w:shd w:val="clear" w:color="auto" w:fill="auto"/>
            <w:noWrap/>
            <w:vAlign w:val="bottom"/>
            <w:hideMark/>
          </w:tcPr>
          <w:p w14:paraId="03FB76E5"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r>
      <w:tr w:rsidR="00BD4D02" w:rsidRPr="00BD4D02" w14:paraId="1B0857F9" w14:textId="77777777" w:rsidTr="00050580">
        <w:trPr>
          <w:trHeight w:val="144"/>
        </w:trPr>
        <w:tc>
          <w:tcPr>
            <w:tcW w:w="4500" w:type="dxa"/>
            <w:shd w:val="clear" w:color="auto" w:fill="auto"/>
            <w:noWrap/>
            <w:vAlign w:val="bottom"/>
            <w:hideMark/>
          </w:tcPr>
          <w:p w14:paraId="4615CF28" w14:textId="77777777" w:rsidR="00BD4D02" w:rsidRPr="00BD4D02" w:rsidRDefault="00BD4D02" w:rsidP="00BD4D02">
            <w:pPr>
              <w:ind w:firstLineChars="100" w:firstLine="201"/>
              <w:rPr>
                <w:rFonts w:ascii="Calibri" w:hAnsi="Calibri" w:cs="Calibri"/>
                <w:b/>
                <w:bCs/>
                <w:color w:val="000000"/>
                <w:sz w:val="20"/>
                <w:szCs w:val="20"/>
              </w:rPr>
            </w:pPr>
            <w:r w:rsidRPr="00BD4D02">
              <w:rPr>
                <w:rFonts w:ascii="Calibri" w:hAnsi="Calibri" w:cs="Calibri"/>
                <w:b/>
                <w:bCs/>
                <w:color w:val="000000"/>
                <w:sz w:val="20"/>
                <w:szCs w:val="20"/>
              </w:rPr>
              <w:t>Competition</w:t>
            </w:r>
          </w:p>
        </w:tc>
        <w:tc>
          <w:tcPr>
            <w:tcW w:w="770" w:type="dxa"/>
            <w:shd w:val="clear" w:color="auto" w:fill="auto"/>
            <w:noWrap/>
            <w:vAlign w:val="bottom"/>
            <w:hideMark/>
          </w:tcPr>
          <w:p w14:paraId="4DB902FA"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3</w:t>
            </w:r>
          </w:p>
        </w:tc>
        <w:tc>
          <w:tcPr>
            <w:tcW w:w="663" w:type="dxa"/>
            <w:shd w:val="clear" w:color="auto" w:fill="auto"/>
            <w:noWrap/>
            <w:vAlign w:val="bottom"/>
            <w:hideMark/>
          </w:tcPr>
          <w:p w14:paraId="4DB41BAB"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w:t>
            </w:r>
          </w:p>
        </w:tc>
        <w:tc>
          <w:tcPr>
            <w:tcW w:w="663" w:type="dxa"/>
            <w:shd w:val="clear" w:color="auto" w:fill="auto"/>
            <w:noWrap/>
            <w:vAlign w:val="bottom"/>
            <w:hideMark/>
          </w:tcPr>
          <w:p w14:paraId="119649B6"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w:t>
            </w:r>
          </w:p>
        </w:tc>
        <w:tc>
          <w:tcPr>
            <w:tcW w:w="663" w:type="dxa"/>
            <w:shd w:val="clear" w:color="auto" w:fill="auto"/>
            <w:noWrap/>
            <w:vAlign w:val="bottom"/>
            <w:hideMark/>
          </w:tcPr>
          <w:p w14:paraId="4D9695BF"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5</w:t>
            </w:r>
          </w:p>
        </w:tc>
        <w:tc>
          <w:tcPr>
            <w:tcW w:w="663" w:type="dxa"/>
            <w:shd w:val="clear" w:color="auto" w:fill="auto"/>
            <w:noWrap/>
            <w:vAlign w:val="bottom"/>
            <w:hideMark/>
          </w:tcPr>
          <w:p w14:paraId="24FB96EE"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4</w:t>
            </w:r>
          </w:p>
        </w:tc>
        <w:tc>
          <w:tcPr>
            <w:tcW w:w="663" w:type="dxa"/>
            <w:shd w:val="clear" w:color="auto" w:fill="auto"/>
            <w:noWrap/>
            <w:vAlign w:val="bottom"/>
            <w:hideMark/>
          </w:tcPr>
          <w:p w14:paraId="62D9FA6E"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5</w:t>
            </w:r>
          </w:p>
        </w:tc>
        <w:tc>
          <w:tcPr>
            <w:tcW w:w="663" w:type="dxa"/>
            <w:shd w:val="clear" w:color="auto" w:fill="auto"/>
            <w:noWrap/>
            <w:vAlign w:val="bottom"/>
            <w:hideMark/>
          </w:tcPr>
          <w:p w14:paraId="5F694339"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4</w:t>
            </w:r>
          </w:p>
        </w:tc>
        <w:tc>
          <w:tcPr>
            <w:tcW w:w="663" w:type="dxa"/>
            <w:shd w:val="clear" w:color="auto" w:fill="auto"/>
            <w:noWrap/>
            <w:vAlign w:val="bottom"/>
            <w:hideMark/>
          </w:tcPr>
          <w:p w14:paraId="6444C5CF"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4</w:t>
            </w:r>
          </w:p>
        </w:tc>
        <w:tc>
          <w:tcPr>
            <w:tcW w:w="663" w:type="dxa"/>
            <w:shd w:val="clear" w:color="auto" w:fill="auto"/>
            <w:noWrap/>
            <w:vAlign w:val="bottom"/>
            <w:hideMark/>
          </w:tcPr>
          <w:p w14:paraId="3D6589D0"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3</w:t>
            </w:r>
          </w:p>
        </w:tc>
        <w:tc>
          <w:tcPr>
            <w:tcW w:w="663" w:type="dxa"/>
            <w:shd w:val="clear" w:color="auto" w:fill="auto"/>
            <w:noWrap/>
            <w:vAlign w:val="bottom"/>
            <w:hideMark/>
          </w:tcPr>
          <w:p w14:paraId="7B64D4D0"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3</w:t>
            </w:r>
          </w:p>
        </w:tc>
        <w:tc>
          <w:tcPr>
            <w:tcW w:w="663" w:type="dxa"/>
            <w:shd w:val="clear" w:color="auto" w:fill="auto"/>
            <w:noWrap/>
            <w:vAlign w:val="bottom"/>
            <w:hideMark/>
          </w:tcPr>
          <w:p w14:paraId="6645311D"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2</w:t>
            </w:r>
          </w:p>
        </w:tc>
        <w:tc>
          <w:tcPr>
            <w:tcW w:w="663" w:type="dxa"/>
            <w:shd w:val="clear" w:color="auto" w:fill="auto"/>
            <w:noWrap/>
            <w:vAlign w:val="bottom"/>
            <w:hideMark/>
          </w:tcPr>
          <w:p w14:paraId="077A01A0"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3</w:t>
            </w:r>
          </w:p>
        </w:tc>
        <w:tc>
          <w:tcPr>
            <w:tcW w:w="1180" w:type="dxa"/>
            <w:shd w:val="clear" w:color="auto" w:fill="auto"/>
            <w:noWrap/>
            <w:vAlign w:val="bottom"/>
            <w:hideMark/>
          </w:tcPr>
          <w:p w14:paraId="6E9D13AA"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38</w:t>
            </w:r>
          </w:p>
        </w:tc>
      </w:tr>
      <w:tr w:rsidR="00BD4D02" w:rsidRPr="00BD4D02" w14:paraId="64BA9586" w14:textId="77777777" w:rsidTr="00050580">
        <w:trPr>
          <w:trHeight w:val="144"/>
        </w:trPr>
        <w:tc>
          <w:tcPr>
            <w:tcW w:w="4500" w:type="dxa"/>
            <w:shd w:val="clear" w:color="auto" w:fill="auto"/>
            <w:noWrap/>
            <w:vAlign w:val="bottom"/>
            <w:hideMark/>
          </w:tcPr>
          <w:p w14:paraId="2A239EA2"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Churn</w:t>
            </w:r>
          </w:p>
        </w:tc>
        <w:tc>
          <w:tcPr>
            <w:tcW w:w="770" w:type="dxa"/>
            <w:shd w:val="clear" w:color="auto" w:fill="auto"/>
            <w:noWrap/>
            <w:vAlign w:val="bottom"/>
            <w:hideMark/>
          </w:tcPr>
          <w:p w14:paraId="33898904"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3E5A21F7"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22D5CD76"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7F37DB57"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1CE690A5"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5447BD1E"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5F2F040F"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29BB9D53"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1D8F45E2"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1C78A294"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5B01D970"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70FF7713"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1180" w:type="dxa"/>
            <w:shd w:val="clear" w:color="auto" w:fill="auto"/>
            <w:noWrap/>
            <w:vAlign w:val="bottom"/>
            <w:hideMark/>
          </w:tcPr>
          <w:p w14:paraId="1388087E"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12</w:t>
            </w:r>
          </w:p>
        </w:tc>
      </w:tr>
      <w:tr w:rsidR="00BD4D02" w:rsidRPr="00BD4D02" w14:paraId="1D1E9F75" w14:textId="77777777" w:rsidTr="00050580">
        <w:trPr>
          <w:trHeight w:val="144"/>
        </w:trPr>
        <w:tc>
          <w:tcPr>
            <w:tcW w:w="4500" w:type="dxa"/>
            <w:shd w:val="clear" w:color="auto" w:fill="auto"/>
            <w:noWrap/>
            <w:vAlign w:val="bottom"/>
            <w:hideMark/>
          </w:tcPr>
          <w:p w14:paraId="65072805"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Coverage - established vs new entrants</w:t>
            </w:r>
          </w:p>
        </w:tc>
        <w:tc>
          <w:tcPr>
            <w:tcW w:w="770" w:type="dxa"/>
            <w:shd w:val="clear" w:color="auto" w:fill="auto"/>
            <w:noWrap/>
            <w:vAlign w:val="bottom"/>
            <w:hideMark/>
          </w:tcPr>
          <w:p w14:paraId="5E9728B2"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68012F8B" w14:textId="77777777" w:rsidR="00BD4D02" w:rsidRPr="00BD4D02" w:rsidRDefault="00BD4D02" w:rsidP="00BD4D02">
            <w:pPr>
              <w:rPr>
                <w:sz w:val="20"/>
                <w:szCs w:val="20"/>
              </w:rPr>
            </w:pPr>
          </w:p>
        </w:tc>
        <w:tc>
          <w:tcPr>
            <w:tcW w:w="663" w:type="dxa"/>
            <w:shd w:val="clear" w:color="auto" w:fill="auto"/>
            <w:noWrap/>
            <w:vAlign w:val="bottom"/>
            <w:hideMark/>
          </w:tcPr>
          <w:p w14:paraId="1089E381" w14:textId="77777777" w:rsidR="00BD4D02" w:rsidRPr="00BD4D02" w:rsidRDefault="00BD4D02" w:rsidP="00BD4D02">
            <w:pPr>
              <w:rPr>
                <w:sz w:val="20"/>
                <w:szCs w:val="20"/>
              </w:rPr>
            </w:pPr>
          </w:p>
        </w:tc>
        <w:tc>
          <w:tcPr>
            <w:tcW w:w="663" w:type="dxa"/>
            <w:shd w:val="clear" w:color="auto" w:fill="auto"/>
            <w:noWrap/>
            <w:vAlign w:val="bottom"/>
            <w:hideMark/>
          </w:tcPr>
          <w:p w14:paraId="14E996F2"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6050758A"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09BA0EBF"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41D4602C"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0B7A46F6"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6D011013"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5CD29865"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162D3F53"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60E30474" w14:textId="77777777" w:rsidR="00BD4D02" w:rsidRPr="00BD4D02" w:rsidRDefault="00BD4D02" w:rsidP="00BD4D02">
            <w:pPr>
              <w:rPr>
                <w:sz w:val="20"/>
                <w:szCs w:val="20"/>
              </w:rPr>
            </w:pPr>
          </w:p>
        </w:tc>
        <w:tc>
          <w:tcPr>
            <w:tcW w:w="1180" w:type="dxa"/>
            <w:shd w:val="clear" w:color="auto" w:fill="auto"/>
            <w:noWrap/>
            <w:vAlign w:val="bottom"/>
            <w:hideMark/>
          </w:tcPr>
          <w:p w14:paraId="002EC3EA"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7</w:t>
            </w:r>
          </w:p>
        </w:tc>
      </w:tr>
      <w:tr w:rsidR="00BD4D02" w:rsidRPr="00BD4D02" w14:paraId="626AD2EE" w14:textId="77777777" w:rsidTr="00050580">
        <w:trPr>
          <w:trHeight w:val="144"/>
        </w:trPr>
        <w:tc>
          <w:tcPr>
            <w:tcW w:w="4500" w:type="dxa"/>
            <w:shd w:val="clear" w:color="auto" w:fill="auto"/>
            <w:noWrap/>
            <w:vAlign w:val="bottom"/>
            <w:hideMark/>
          </w:tcPr>
          <w:p w14:paraId="3AD80EDE" w14:textId="77777777" w:rsidR="00BD4D02" w:rsidRPr="00BD4D02" w:rsidRDefault="00BD4D02" w:rsidP="00BD4D02">
            <w:pPr>
              <w:ind w:firstLineChars="200" w:firstLine="400"/>
              <w:rPr>
                <w:rFonts w:ascii="Calibri" w:hAnsi="Calibri" w:cs="Calibri"/>
                <w:color w:val="000000"/>
                <w:sz w:val="20"/>
                <w:szCs w:val="20"/>
              </w:rPr>
            </w:pPr>
            <w:proofErr w:type="spellStart"/>
            <w:r w:rsidRPr="00BD4D02">
              <w:rPr>
                <w:rFonts w:ascii="Calibri" w:hAnsi="Calibri" w:cs="Calibri"/>
                <w:color w:val="000000"/>
                <w:sz w:val="20"/>
                <w:szCs w:val="20"/>
              </w:rPr>
              <w:t>Facilites</w:t>
            </w:r>
            <w:proofErr w:type="spellEnd"/>
            <w:r w:rsidRPr="00BD4D02">
              <w:rPr>
                <w:rFonts w:ascii="Calibri" w:hAnsi="Calibri" w:cs="Calibri"/>
                <w:color w:val="000000"/>
                <w:sz w:val="20"/>
                <w:szCs w:val="20"/>
              </w:rPr>
              <w:t>-based carriers</w:t>
            </w:r>
          </w:p>
        </w:tc>
        <w:tc>
          <w:tcPr>
            <w:tcW w:w="770" w:type="dxa"/>
            <w:shd w:val="clear" w:color="auto" w:fill="auto"/>
            <w:noWrap/>
            <w:vAlign w:val="bottom"/>
            <w:hideMark/>
          </w:tcPr>
          <w:p w14:paraId="0DBF27D4"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7967A6EF" w14:textId="77777777" w:rsidR="00BD4D02" w:rsidRPr="00BD4D02" w:rsidRDefault="00BD4D02" w:rsidP="00BD4D02">
            <w:pPr>
              <w:rPr>
                <w:sz w:val="20"/>
                <w:szCs w:val="20"/>
              </w:rPr>
            </w:pPr>
          </w:p>
        </w:tc>
        <w:tc>
          <w:tcPr>
            <w:tcW w:w="663" w:type="dxa"/>
            <w:shd w:val="clear" w:color="auto" w:fill="auto"/>
            <w:noWrap/>
            <w:vAlign w:val="bottom"/>
            <w:hideMark/>
          </w:tcPr>
          <w:p w14:paraId="187C2480" w14:textId="77777777" w:rsidR="00BD4D02" w:rsidRPr="00BD4D02" w:rsidRDefault="00BD4D02" w:rsidP="00BD4D02">
            <w:pPr>
              <w:rPr>
                <w:sz w:val="20"/>
                <w:szCs w:val="20"/>
              </w:rPr>
            </w:pPr>
          </w:p>
        </w:tc>
        <w:tc>
          <w:tcPr>
            <w:tcW w:w="663" w:type="dxa"/>
            <w:shd w:val="clear" w:color="auto" w:fill="auto"/>
            <w:noWrap/>
            <w:vAlign w:val="bottom"/>
            <w:hideMark/>
          </w:tcPr>
          <w:p w14:paraId="6D90F7C6" w14:textId="77777777" w:rsidR="00BD4D02" w:rsidRPr="00BD4D02" w:rsidRDefault="00BD4D02" w:rsidP="00BD4D02">
            <w:pPr>
              <w:rPr>
                <w:sz w:val="20"/>
                <w:szCs w:val="20"/>
              </w:rPr>
            </w:pPr>
          </w:p>
        </w:tc>
        <w:tc>
          <w:tcPr>
            <w:tcW w:w="663" w:type="dxa"/>
            <w:shd w:val="clear" w:color="auto" w:fill="auto"/>
            <w:noWrap/>
            <w:vAlign w:val="bottom"/>
            <w:hideMark/>
          </w:tcPr>
          <w:p w14:paraId="6D7E4663" w14:textId="77777777" w:rsidR="00BD4D02" w:rsidRPr="00BD4D02" w:rsidRDefault="00BD4D02" w:rsidP="00BD4D02">
            <w:pPr>
              <w:rPr>
                <w:sz w:val="20"/>
                <w:szCs w:val="20"/>
              </w:rPr>
            </w:pPr>
          </w:p>
        </w:tc>
        <w:tc>
          <w:tcPr>
            <w:tcW w:w="663" w:type="dxa"/>
            <w:shd w:val="clear" w:color="auto" w:fill="auto"/>
            <w:noWrap/>
            <w:vAlign w:val="bottom"/>
            <w:hideMark/>
          </w:tcPr>
          <w:p w14:paraId="205F2DB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7E689E2A"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0E889A50" w14:textId="77777777" w:rsidR="00BD4D02" w:rsidRPr="00BD4D02" w:rsidRDefault="00BD4D02" w:rsidP="00BD4D02">
            <w:pPr>
              <w:rPr>
                <w:sz w:val="20"/>
                <w:szCs w:val="20"/>
              </w:rPr>
            </w:pPr>
          </w:p>
        </w:tc>
        <w:tc>
          <w:tcPr>
            <w:tcW w:w="663" w:type="dxa"/>
            <w:shd w:val="clear" w:color="auto" w:fill="auto"/>
            <w:noWrap/>
            <w:vAlign w:val="bottom"/>
            <w:hideMark/>
          </w:tcPr>
          <w:p w14:paraId="299495A7" w14:textId="77777777" w:rsidR="00BD4D02" w:rsidRPr="00BD4D02" w:rsidRDefault="00BD4D02" w:rsidP="00BD4D02">
            <w:pPr>
              <w:rPr>
                <w:sz w:val="20"/>
                <w:szCs w:val="20"/>
              </w:rPr>
            </w:pPr>
          </w:p>
        </w:tc>
        <w:tc>
          <w:tcPr>
            <w:tcW w:w="663" w:type="dxa"/>
            <w:shd w:val="clear" w:color="auto" w:fill="auto"/>
            <w:noWrap/>
            <w:vAlign w:val="bottom"/>
            <w:hideMark/>
          </w:tcPr>
          <w:p w14:paraId="443DF00C" w14:textId="77777777" w:rsidR="00BD4D02" w:rsidRPr="00BD4D02" w:rsidRDefault="00BD4D02" w:rsidP="00BD4D02">
            <w:pPr>
              <w:rPr>
                <w:sz w:val="20"/>
                <w:szCs w:val="20"/>
              </w:rPr>
            </w:pPr>
          </w:p>
        </w:tc>
        <w:tc>
          <w:tcPr>
            <w:tcW w:w="663" w:type="dxa"/>
            <w:shd w:val="clear" w:color="auto" w:fill="auto"/>
            <w:noWrap/>
            <w:vAlign w:val="bottom"/>
            <w:hideMark/>
          </w:tcPr>
          <w:p w14:paraId="172EE809" w14:textId="77777777" w:rsidR="00BD4D02" w:rsidRPr="00BD4D02" w:rsidRDefault="00BD4D02" w:rsidP="00BD4D02">
            <w:pPr>
              <w:rPr>
                <w:sz w:val="20"/>
                <w:szCs w:val="20"/>
              </w:rPr>
            </w:pPr>
          </w:p>
        </w:tc>
        <w:tc>
          <w:tcPr>
            <w:tcW w:w="663" w:type="dxa"/>
            <w:shd w:val="clear" w:color="auto" w:fill="auto"/>
            <w:noWrap/>
            <w:vAlign w:val="bottom"/>
            <w:hideMark/>
          </w:tcPr>
          <w:p w14:paraId="7D88556B" w14:textId="77777777" w:rsidR="00BD4D02" w:rsidRPr="00BD4D02" w:rsidRDefault="00BD4D02" w:rsidP="00BD4D02">
            <w:pPr>
              <w:rPr>
                <w:sz w:val="20"/>
                <w:szCs w:val="20"/>
              </w:rPr>
            </w:pPr>
          </w:p>
        </w:tc>
        <w:tc>
          <w:tcPr>
            <w:tcW w:w="1180" w:type="dxa"/>
            <w:shd w:val="clear" w:color="auto" w:fill="auto"/>
            <w:noWrap/>
            <w:vAlign w:val="bottom"/>
            <w:hideMark/>
          </w:tcPr>
          <w:p w14:paraId="7241D3E4"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0356FB76" w14:textId="77777777" w:rsidTr="00050580">
        <w:trPr>
          <w:trHeight w:val="144"/>
        </w:trPr>
        <w:tc>
          <w:tcPr>
            <w:tcW w:w="4500" w:type="dxa"/>
            <w:shd w:val="clear" w:color="auto" w:fill="auto"/>
            <w:noWrap/>
            <w:vAlign w:val="bottom"/>
            <w:hideMark/>
          </w:tcPr>
          <w:p w14:paraId="372ACD1A"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Local lines - TSP</w:t>
            </w:r>
          </w:p>
        </w:tc>
        <w:tc>
          <w:tcPr>
            <w:tcW w:w="770" w:type="dxa"/>
            <w:shd w:val="clear" w:color="auto" w:fill="auto"/>
            <w:noWrap/>
            <w:vAlign w:val="bottom"/>
            <w:hideMark/>
          </w:tcPr>
          <w:p w14:paraId="000B33B8"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48CBC214" w14:textId="77777777" w:rsidR="00BD4D02" w:rsidRPr="00BD4D02" w:rsidRDefault="00BD4D02" w:rsidP="00BD4D02">
            <w:pPr>
              <w:rPr>
                <w:sz w:val="20"/>
                <w:szCs w:val="20"/>
              </w:rPr>
            </w:pPr>
          </w:p>
        </w:tc>
        <w:tc>
          <w:tcPr>
            <w:tcW w:w="663" w:type="dxa"/>
            <w:shd w:val="clear" w:color="auto" w:fill="auto"/>
            <w:noWrap/>
            <w:vAlign w:val="bottom"/>
            <w:hideMark/>
          </w:tcPr>
          <w:p w14:paraId="4BE167DC" w14:textId="77777777" w:rsidR="00BD4D02" w:rsidRPr="00BD4D02" w:rsidRDefault="00BD4D02" w:rsidP="00BD4D02">
            <w:pPr>
              <w:rPr>
                <w:sz w:val="20"/>
                <w:szCs w:val="20"/>
              </w:rPr>
            </w:pPr>
          </w:p>
        </w:tc>
        <w:tc>
          <w:tcPr>
            <w:tcW w:w="663" w:type="dxa"/>
            <w:shd w:val="clear" w:color="auto" w:fill="auto"/>
            <w:noWrap/>
            <w:vAlign w:val="bottom"/>
            <w:hideMark/>
          </w:tcPr>
          <w:p w14:paraId="215A4E4C" w14:textId="77777777" w:rsidR="00BD4D02" w:rsidRPr="00BD4D02" w:rsidRDefault="00BD4D02" w:rsidP="00BD4D02">
            <w:pPr>
              <w:rPr>
                <w:sz w:val="20"/>
                <w:szCs w:val="20"/>
              </w:rPr>
            </w:pPr>
          </w:p>
        </w:tc>
        <w:tc>
          <w:tcPr>
            <w:tcW w:w="663" w:type="dxa"/>
            <w:shd w:val="clear" w:color="auto" w:fill="auto"/>
            <w:noWrap/>
            <w:vAlign w:val="bottom"/>
            <w:hideMark/>
          </w:tcPr>
          <w:p w14:paraId="207A7840" w14:textId="77777777" w:rsidR="00BD4D02" w:rsidRPr="00BD4D02" w:rsidRDefault="00BD4D02" w:rsidP="00BD4D02">
            <w:pPr>
              <w:rPr>
                <w:sz w:val="20"/>
                <w:szCs w:val="20"/>
              </w:rPr>
            </w:pPr>
          </w:p>
        </w:tc>
        <w:tc>
          <w:tcPr>
            <w:tcW w:w="663" w:type="dxa"/>
            <w:shd w:val="clear" w:color="auto" w:fill="auto"/>
            <w:noWrap/>
            <w:vAlign w:val="bottom"/>
            <w:hideMark/>
          </w:tcPr>
          <w:p w14:paraId="15640366" w14:textId="77777777" w:rsidR="00BD4D02" w:rsidRPr="00BD4D02" w:rsidRDefault="00BD4D02" w:rsidP="00BD4D02">
            <w:pPr>
              <w:rPr>
                <w:sz w:val="20"/>
                <w:szCs w:val="20"/>
              </w:rPr>
            </w:pPr>
          </w:p>
        </w:tc>
        <w:tc>
          <w:tcPr>
            <w:tcW w:w="663" w:type="dxa"/>
            <w:shd w:val="clear" w:color="auto" w:fill="auto"/>
            <w:noWrap/>
            <w:vAlign w:val="bottom"/>
            <w:hideMark/>
          </w:tcPr>
          <w:p w14:paraId="38E312DB"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7A573B3D"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7F8891A3"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35480B6F"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27EB667C"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0CC76FA1" w14:textId="77777777" w:rsidR="00BD4D02" w:rsidRPr="00BD4D02" w:rsidRDefault="00BD4D02" w:rsidP="00BD4D02">
            <w:pPr>
              <w:rPr>
                <w:sz w:val="20"/>
                <w:szCs w:val="20"/>
              </w:rPr>
            </w:pPr>
          </w:p>
        </w:tc>
        <w:tc>
          <w:tcPr>
            <w:tcW w:w="1180" w:type="dxa"/>
            <w:shd w:val="clear" w:color="auto" w:fill="auto"/>
            <w:noWrap/>
            <w:vAlign w:val="bottom"/>
            <w:hideMark/>
          </w:tcPr>
          <w:p w14:paraId="5A121907"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4</w:t>
            </w:r>
          </w:p>
        </w:tc>
      </w:tr>
      <w:tr w:rsidR="00BD4D02" w:rsidRPr="00BD4D02" w14:paraId="58D2F416" w14:textId="77777777" w:rsidTr="00050580">
        <w:trPr>
          <w:trHeight w:val="144"/>
        </w:trPr>
        <w:tc>
          <w:tcPr>
            <w:tcW w:w="4500" w:type="dxa"/>
            <w:shd w:val="clear" w:color="auto" w:fill="auto"/>
            <w:noWrap/>
            <w:vAlign w:val="bottom"/>
            <w:hideMark/>
          </w:tcPr>
          <w:p w14:paraId="3AF99025"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Long distance</w:t>
            </w:r>
          </w:p>
        </w:tc>
        <w:tc>
          <w:tcPr>
            <w:tcW w:w="770" w:type="dxa"/>
            <w:shd w:val="clear" w:color="auto" w:fill="auto"/>
            <w:noWrap/>
            <w:vAlign w:val="bottom"/>
            <w:hideMark/>
          </w:tcPr>
          <w:p w14:paraId="131BB0B6"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285704B8"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2D5CCF13" w14:textId="77777777" w:rsidR="00BD4D02" w:rsidRPr="00BD4D02" w:rsidRDefault="00BD4D02" w:rsidP="00BD4D02">
            <w:pPr>
              <w:rPr>
                <w:sz w:val="20"/>
                <w:szCs w:val="20"/>
              </w:rPr>
            </w:pPr>
          </w:p>
        </w:tc>
        <w:tc>
          <w:tcPr>
            <w:tcW w:w="663" w:type="dxa"/>
            <w:shd w:val="clear" w:color="auto" w:fill="auto"/>
            <w:noWrap/>
            <w:vAlign w:val="bottom"/>
            <w:hideMark/>
          </w:tcPr>
          <w:p w14:paraId="5C80E9A3" w14:textId="77777777" w:rsidR="00BD4D02" w:rsidRPr="00BD4D02" w:rsidRDefault="00BD4D02" w:rsidP="00BD4D02">
            <w:pPr>
              <w:rPr>
                <w:sz w:val="20"/>
                <w:szCs w:val="20"/>
              </w:rPr>
            </w:pPr>
          </w:p>
        </w:tc>
        <w:tc>
          <w:tcPr>
            <w:tcW w:w="663" w:type="dxa"/>
            <w:shd w:val="clear" w:color="auto" w:fill="auto"/>
            <w:noWrap/>
            <w:vAlign w:val="bottom"/>
            <w:hideMark/>
          </w:tcPr>
          <w:p w14:paraId="588FF4F8" w14:textId="77777777" w:rsidR="00BD4D02" w:rsidRPr="00BD4D02" w:rsidRDefault="00BD4D02" w:rsidP="00BD4D02">
            <w:pPr>
              <w:rPr>
                <w:sz w:val="20"/>
                <w:szCs w:val="20"/>
              </w:rPr>
            </w:pPr>
          </w:p>
        </w:tc>
        <w:tc>
          <w:tcPr>
            <w:tcW w:w="663" w:type="dxa"/>
            <w:shd w:val="clear" w:color="auto" w:fill="auto"/>
            <w:noWrap/>
            <w:vAlign w:val="bottom"/>
            <w:hideMark/>
          </w:tcPr>
          <w:p w14:paraId="25B5B75F" w14:textId="77777777" w:rsidR="00BD4D02" w:rsidRPr="00BD4D02" w:rsidRDefault="00BD4D02" w:rsidP="00BD4D02">
            <w:pPr>
              <w:rPr>
                <w:sz w:val="20"/>
                <w:szCs w:val="20"/>
              </w:rPr>
            </w:pPr>
          </w:p>
        </w:tc>
        <w:tc>
          <w:tcPr>
            <w:tcW w:w="663" w:type="dxa"/>
            <w:shd w:val="clear" w:color="auto" w:fill="auto"/>
            <w:noWrap/>
            <w:vAlign w:val="bottom"/>
            <w:hideMark/>
          </w:tcPr>
          <w:p w14:paraId="474872DB" w14:textId="77777777" w:rsidR="00BD4D02" w:rsidRPr="00BD4D02" w:rsidRDefault="00BD4D02" w:rsidP="00BD4D02">
            <w:pPr>
              <w:rPr>
                <w:sz w:val="20"/>
                <w:szCs w:val="20"/>
              </w:rPr>
            </w:pPr>
          </w:p>
        </w:tc>
        <w:tc>
          <w:tcPr>
            <w:tcW w:w="663" w:type="dxa"/>
            <w:shd w:val="clear" w:color="auto" w:fill="auto"/>
            <w:noWrap/>
            <w:vAlign w:val="bottom"/>
            <w:hideMark/>
          </w:tcPr>
          <w:p w14:paraId="416B1001" w14:textId="77777777" w:rsidR="00BD4D02" w:rsidRPr="00BD4D02" w:rsidRDefault="00BD4D02" w:rsidP="00BD4D02">
            <w:pPr>
              <w:rPr>
                <w:sz w:val="20"/>
                <w:szCs w:val="20"/>
              </w:rPr>
            </w:pPr>
          </w:p>
        </w:tc>
        <w:tc>
          <w:tcPr>
            <w:tcW w:w="663" w:type="dxa"/>
            <w:shd w:val="clear" w:color="auto" w:fill="auto"/>
            <w:noWrap/>
            <w:vAlign w:val="bottom"/>
            <w:hideMark/>
          </w:tcPr>
          <w:p w14:paraId="4351C50A" w14:textId="77777777" w:rsidR="00BD4D02" w:rsidRPr="00BD4D02" w:rsidRDefault="00BD4D02" w:rsidP="00BD4D02">
            <w:pPr>
              <w:rPr>
                <w:sz w:val="20"/>
                <w:szCs w:val="20"/>
              </w:rPr>
            </w:pPr>
          </w:p>
        </w:tc>
        <w:tc>
          <w:tcPr>
            <w:tcW w:w="663" w:type="dxa"/>
            <w:shd w:val="clear" w:color="auto" w:fill="auto"/>
            <w:noWrap/>
            <w:vAlign w:val="bottom"/>
            <w:hideMark/>
          </w:tcPr>
          <w:p w14:paraId="3300DFD5" w14:textId="77777777" w:rsidR="00BD4D02" w:rsidRPr="00BD4D02" w:rsidRDefault="00BD4D02" w:rsidP="00BD4D02">
            <w:pPr>
              <w:rPr>
                <w:sz w:val="20"/>
                <w:szCs w:val="20"/>
              </w:rPr>
            </w:pPr>
          </w:p>
        </w:tc>
        <w:tc>
          <w:tcPr>
            <w:tcW w:w="663" w:type="dxa"/>
            <w:shd w:val="clear" w:color="auto" w:fill="auto"/>
            <w:noWrap/>
            <w:vAlign w:val="bottom"/>
            <w:hideMark/>
          </w:tcPr>
          <w:p w14:paraId="4397C7FE" w14:textId="77777777" w:rsidR="00BD4D02" w:rsidRPr="00BD4D02" w:rsidRDefault="00BD4D02" w:rsidP="00BD4D02">
            <w:pPr>
              <w:rPr>
                <w:sz w:val="20"/>
                <w:szCs w:val="20"/>
              </w:rPr>
            </w:pPr>
          </w:p>
        </w:tc>
        <w:tc>
          <w:tcPr>
            <w:tcW w:w="663" w:type="dxa"/>
            <w:shd w:val="clear" w:color="auto" w:fill="auto"/>
            <w:noWrap/>
            <w:vAlign w:val="bottom"/>
            <w:hideMark/>
          </w:tcPr>
          <w:p w14:paraId="30E03E68" w14:textId="77777777" w:rsidR="00BD4D02" w:rsidRPr="00BD4D02" w:rsidRDefault="00BD4D02" w:rsidP="00BD4D02">
            <w:pPr>
              <w:rPr>
                <w:sz w:val="20"/>
                <w:szCs w:val="20"/>
              </w:rPr>
            </w:pPr>
          </w:p>
        </w:tc>
        <w:tc>
          <w:tcPr>
            <w:tcW w:w="1180" w:type="dxa"/>
            <w:shd w:val="clear" w:color="auto" w:fill="auto"/>
            <w:noWrap/>
            <w:vAlign w:val="bottom"/>
            <w:hideMark/>
          </w:tcPr>
          <w:p w14:paraId="25C6DB2C"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0335B663" w14:textId="77777777" w:rsidTr="00050580">
        <w:trPr>
          <w:trHeight w:val="144"/>
        </w:trPr>
        <w:tc>
          <w:tcPr>
            <w:tcW w:w="4500" w:type="dxa"/>
            <w:shd w:val="clear" w:color="auto" w:fill="auto"/>
            <w:noWrap/>
            <w:vAlign w:val="bottom"/>
            <w:hideMark/>
          </w:tcPr>
          <w:p w14:paraId="2FEAC650"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Rates - Internet</w:t>
            </w:r>
          </w:p>
        </w:tc>
        <w:tc>
          <w:tcPr>
            <w:tcW w:w="770" w:type="dxa"/>
            <w:shd w:val="clear" w:color="auto" w:fill="auto"/>
            <w:noWrap/>
            <w:vAlign w:val="bottom"/>
            <w:hideMark/>
          </w:tcPr>
          <w:p w14:paraId="5CC6A821"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4C2CD540" w14:textId="77777777" w:rsidR="00BD4D02" w:rsidRPr="00BD4D02" w:rsidRDefault="00BD4D02" w:rsidP="00BD4D02">
            <w:pPr>
              <w:rPr>
                <w:sz w:val="20"/>
                <w:szCs w:val="20"/>
              </w:rPr>
            </w:pPr>
          </w:p>
        </w:tc>
        <w:tc>
          <w:tcPr>
            <w:tcW w:w="663" w:type="dxa"/>
            <w:shd w:val="clear" w:color="auto" w:fill="auto"/>
            <w:noWrap/>
            <w:vAlign w:val="bottom"/>
            <w:hideMark/>
          </w:tcPr>
          <w:p w14:paraId="6EFDDB3A" w14:textId="77777777" w:rsidR="00BD4D02" w:rsidRPr="00BD4D02" w:rsidRDefault="00BD4D02" w:rsidP="00BD4D02">
            <w:pPr>
              <w:rPr>
                <w:sz w:val="20"/>
                <w:szCs w:val="20"/>
              </w:rPr>
            </w:pPr>
          </w:p>
        </w:tc>
        <w:tc>
          <w:tcPr>
            <w:tcW w:w="663" w:type="dxa"/>
            <w:shd w:val="clear" w:color="auto" w:fill="auto"/>
            <w:noWrap/>
            <w:vAlign w:val="bottom"/>
            <w:hideMark/>
          </w:tcPr>
          <w:p w14:paraId="1BD03E4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1EF0F298"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1C9786CA"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7C1AB77D"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27FE3AE3" w14:textId="77777777" w:rsidR="00BD4D02" w:rsidRPr="00BD4D02" w:rsidRDefault="00BD4D02" w:rsidP="00BD4D02">
            <w:pPr>
              <w:rPr>
                <w:sz w:val="20"/>
                <w:szCs w:val="20"/>
              </w:rPr>
            </w:pPr>
          </w:p>
        </w:tc>
        <w:tc>
          <w:tcPr>
            <w:tcW w:w="663" w:type="dxa"/>
            <w:shd w:val="clear" w:color="auto" w:fill="auto"/>
            <w:noWrap/>
            <w:vAlign w:val="bottom"/>
            <w:hideMark/>
          </w:tcPr>
          <w:p w14:paraId="5F25CF55" w14:textId="77777777" w:rsidR="00BD4D02" w:rsidRPr="00BD4D02" w:rsidRDefault="00BD4D02" w:rsidP="00BD4D02">
            <w:pPr>
              <w:rPr>
                <w:sz w:val="20"/>
                <w:szCs w:val="20"/>
              </w:rPr>
            </w:pPr>
          </w:p>
        </w:tc>
        <w:tc>
          <w:tcPr>
            <w:tcW w:w="663" w:type="dxa"/>
            <w:shd w:val="clear" w:color="auto" w:fill="auto"/>
            <w:noWrap/>
            <w:vAlign w:val="bottom"/>
            <w:hideMark/>
          </w:tcPr>
          <w:p w14:paraId="488FEAE9" w14:textId="77777777" w:rsidR="00BD4D02" w:rsidRPr="00BD4D02" w:rsidRDefault="00BD4D02" w:rsidP="00BD4D02">
            <w:pPr>
              <w:rPr>
                <w:sz w:val="20"/>
                <w:szCs w:val="20"/>
              </w:rPr>
            </w:pPr>
          </w:p>
        </w:tc>
        <w:tc>
          <w:tcPr>
            <w:tcW w:w="663" w:type="dxa"/>
            <w:shd w:val="clear" w:color="auto" w:fill="auto"/>
            <w:noWrap/>
            <w:vAlign w:val="bottom"/>
            <w:hideMark/>
          </w:tcPr>
          <w:p w14:paraId="5433D039" w14:textId="77777777" w:rsidR="00BD4D02" w:rsidRPr="00BD4D02" w:rsidRDefault="00BD4D02" w:rsidP="00BD4D02">
            <w:pPr>
              <w:rPr>
                <w:sz w:val="20"/>
                <w:szCs w:val="20"/>
              </w:rPr>
            </w:pPr>
          </w:p>
        </w:tc>
        <w:tc>
          <w:tcPr>
            <w:tcW w:w="663" w:type="dxa"/>
            <w:shd w:val="clear" w:color="auto" w:fill="auto"/>
            <w:noWrap/>
            <w:vAlign w:val="bottom"/>
            <w:hideMark/>
          </w:tcPr>
          <w:p w14:paraId="62C803E8" w14:textId="77777777" w:rsidR="00BD4D02" w:rsidRPr="00BD4D02" w:rsidRDefault="00BD4D02" w:rsidP="00BD4D02">
            <w:pPr>
              <w:rPr>
                <w:sz w:val="20"/>
                <w:szCs w:val="20"/>
              </w:rPr>
            </w:pPr>
          </w:p>
        </w:tc>
        <w:tc>
          <w:tcPr>
            <w:tcW w:w="1180" w:type="dxa"/>
            <w:shd w:val="clear" w:color="auto" w:fill="auto"/>
            <w:noWrap/>
            <w:vAlign w:val="bottom"/>
            <w:hideMark/>
          </w:tcPr>
          <w:p w14:paraId="2E4AB605"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5</w:t>
            </w:r>
          </w:p>
        </w:tc>
      </w:tr>
      <w:tr w:rsidR="00BD4D02" w:rsidRPr="00BD4D02" w14:paraId="0131D49F" w14:textId="77777777" w:rsidTr="00050580">
        <w:trPr>
          <w:trHeight w:val="144"/>
        </w:trPr>
        <w:tc>
          <w:tcPr>
            <w:tcW w:w="4500" w:type="dxa"/>
            <w:shd w:val="clear" w:color="auto" w:fill="auto"/>
            <w:noWrap/>
            <w:vAlign w:val="bottom"/>
            <w:hideMark/>
          </w:tcPr>
          <w:p w14:paraId="3EA29BE7"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Residential connections</w:t>
            </w:r>
          </w:p>
        </w:tc>
        <w:tc>
          <w:tcPr>
            <w:tcW w:w="770" w:type="dxa"/>
            <w:shd w:val="clear" w:color="auto" w:fill="auto"/>
            <w:noWrap/>
            <w:vAlign w:val="bottom"/>
            <w:hideMark/>
          </w:tcPr>
          <w:p w14:paraId="7F43BFA3"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651BD56F" w14:textId="77777777" w:rsidR="00BD4D02" w:rsidRPr="00BD4D02" w:rsidRDefault="00BD4D02" w:rsidP="00BD4D02">
            <w:pPr>
              <w:rPr>
                <w:sz w:val="20"/>
                <w:szCs w:val="20"/>
              </w:rPr>
            </w:pPr>
          </w:p>
        </w:tc>
        <w:tc>
          <w:tcPr>
            <w:tcW w:w="663" w:type="dxa"/>
            <w:shd w:val="clear" w:color="auto" w:fill="auto"/>
            <w:noWrap/>
            <w:vAlign w:val="bottom"/>
            <w:hideMark/>
          </w:tcPr>
          <w:p w14:paraId="77D80206" w14:textId="77777777" w:rsidR="00BD4D02" w:rsidRPr="00BD4D02" w:rsidRDefault="00BD4D02" w:rsidP="00BD4D02">
            <w:pPr>
              <w:rPr>
                <w:sz w:val="20"/>
                <w:szCs w:val="20"/>
              </w:rPr>
            </w:pPr>
          </w:p>
        </w:tc>
        <w:tc>
          <w:tcPr>
            <w:tcW w:w="663" w:type="dxa"/>
            <w:shd w:val="clear" w:color="auto" w:fill="auto"/>
            <w:noWrap/>
            <w:vAlign w:val="bottom"/>
            <w:hideMark/>
          </w:tcPr>
          <w:p w14:paraId="34D2A64D" w14:textId="77777777" w:rsidR="00BD4D02" w:rsidRPr="00BD4D02" w:rsidRDefault="00BD4D02" w:rsidP="00BD4D02">
            <w:pPr>
              <w:rPr>
                <w:sz w:val="20"/>
                <w:szCs w:val="20"/>
              </w:rPr>
            </w:pPr>
          </w:p>
        </w:tc>
        <w:tc>
          <w:tcPr>
            <w:tcW w:w="663" w:type="dxa"/>
            <w:shd w:val="clear" w:color="auto" w:fill="auto"/>
            <w:noWrap/>
            <w:vAlign w:val="bottom"/>
            <w:hideMark/>
          </w:tcPr>
          <w:p w14:paraId="1042B736" w14:textId="77777777" w:rsidR="00BD4D02" w:rsidRPr="00BD4D02" w:rsidRDefault="00BD4D02" w:rsidP="00BD4D02">
            <w:pPr>
              <w:rPr>
                <w:sz w:val="20"/>
                <w:szCs w:val="20"/>
              </w:rPr>
            </w:pPr>
          </w:p>
        </w:tc>
        <w:tc>
          <w:tcPr>
            <w:tcW w:w="663" w:type="dxa"/>
            <w:shd w:val="clear" w:color="auto" w:fill="auto"/>
            <w:noWrap/>
            <w:vAlign w:val="bottom"/>
            <w:hideMark/>
          </w:tcPr>
          <w:p w14:paraId="6A7B40EC"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1576815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7E4BC342"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3B8EBC14"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6DD223E7" w14:textId="77777777" w:rsidR="00BD4D02" w:rsidRPr="00BD4D02" w:rsidRDefault="00BD4D02" w:rsidP="00BD4D02">
            <w:pPr>
              <w:rPr>
                <w:sz w:val="20"/>
                <w:szCs w:val="20"/>
              </w:rPr>
            </w:pPr>
          </w:p>
        </w:tc>
        <w:tc>
          <w:tcPr>
            <w:tcW w:w="663" w:type="dxa"/>
            <w:shd w:val="clear" w:color="auto" w:fill="auto"/>
            <w:noWrap/>
            <w:vAlign w:val="bottom"/>
            <w:hideMark/>
          </w:tcPr>
          <w:p w14:paraId="31B8508D" w14:textId="77777777" w:rsidR="00BD4D02" w:rsidRPr="00BD4D02" w:rsidRDefault="00BD4D02" w:rsidP="00BD4D02">
            <w:pPr>
              <w:rPr>
                <w:sz w:val="20"/>
                <w:szCs w:val="20"/>
              </w:rPr>
            </w:pPr>
          </w:p>
        </w:tc>
        <w:tc>
          <w:tcPr>
            <w:tcW w:w="663" w:type="dxa"/>
            <w:shd w:val="clear" w:color="auto" w:fill="auto"/>
            <w:noWrap/>
            <w:vAlign w:val="bottom"/>
            <w:hideMark/>
          </w:tcPr>
          <w:p w14:paraId="06F6FFFA" w14:textId="77777777" w:rsidR="00BD4D02" w:rsidRPr="00BD4D02" w:rsidRDefault="00BD4D02" w:rsidP="00BD4D02">
            <w:pPr>
              <w:rPr>
                <w:sz w:val="20"/>
                <w:szCs w:val="20"/>
              </w:rPr>
            </w:pPr>
          </w:p>
        </w:tc>
        <w:tc>
          <w:tcPr>
            <w:tcW w:w="1180" w:type="dxa"/>
            <w:shd w:val="clear" w:color="auto" w:fill="auto"/>
            <w:noWrap/>
            <w:vAlign w:val="bottom"/>
            <w:hideMark/>
          </w:tcPr>
          <w:p w14:paraId="4CC6C9A0"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w:t>
            </w:r>
          </w:p>
        </w:tc>
      </w:tr>
      <w:tr w:rsidR="00BD4D02" w:rsidRPr="00BD4D02" w14:paraId="358CAE4A" w14:textId="77777777" w:rsidTr="00050580">
        <w:trPr>
          <w:trHeight w:val="144"/>
        </w:trPr>
        <w:tc>
          <w:tcPr>
            <w:tcW w:w="4500" w:type="dxa"/>
            <w:shd w:val="clear" w:color="auto" w:fill="auto"/>
            <w:noWrap/>
            <w:vAlign w:val="bottom"/>
            <w:hideMark/>
          </w:tcPr>
          <w:p w14:paraId="6FB694E7"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Retail lines - VOIP vs switched</w:t>
            </w:r>
          </w:p>
        </w:tc>
        <w:tc>
          <w:tcPr>
            <w:tcW w:w="770" w:type="dxa"/>
            <w:shd w:val="clear" w:color="auto" w:fill="auto"/>
            <w:noWrap/>
            <w:vAlign w:val="bottom"/>
            <w:hideMark/>
          </w:tcPr>
          <w:p w14:paraId="4A7B4426"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75F25046" w14:textId="77777777" w:rsidR="00BD4D02" w:rsidRPr="00BD4D02" w:rsidRDefault="00BD4D02" w:rsidP="00BD4D02">
            <w:pPr>
              <w:rPr>
                <w:sz w:val="20"/>
                <w:szCs w:val="20"/>
              </w:rPr>
            </w:pPr>
          </w:p>
        </w:tc>
        <w:tc>
          <w:tcPr>
            <w:tcW w:w="663" w:type="dxa"/>
            <w:shd w:val="clear" w:color="auto" w:fill="auto"/>
            <w:noWrap/>
            <w:vAlign w:val="bottom"/>
            <w:hideMark/>
          </w:tcPr>
          <w:p w14:paraId="6BFE91E7" w14:textId="77777777" w:rsidR="00BD4D02" w:rsidRPr="00BD4D02" w:rsidRDefault="00BD4D02" w:rsidP="00BD4D02">
            <w:pPr>
              <w:rPr>
                <w:sz w:val="20"/>
                <w:szCs w:val="20"/>
              </w:rPr>
            </w:pPr>
          </w:p>
        </w:tc>
        <w:tc>
          <w:tcPr>
            <w:tcW w:w="663" w:type="dxa"/>
            <w:shd w:val="clear" w:color="auto" w:fill="auto"/>
            <w:noWrap/>
            <w:vAlign w:val="bottom"/>
            <w:hideMark/>
          </w:tcPr>
          <w:p w14:paraId="20302A27"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72CDEEE9"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61534B31" w14:textId="77777777" w:rsidR="00BD4D02" w:rsidRPr="00BD4D02" w:rsidRDefault="00BD4D02" w:rsidP="00BD4D02">
            <w:pPr>
              <w:rPr>
                <w:sz w:val="20"/>
                <w:szCs w:val="20"/>
              </w:rPr>
            </w:pPr>
          </w:p>
        </w:tc>
        <w:tc>
          <w:tcPr>
            <w:tcW w:w="663" w:type="dxa"/>
            <w:shd w:val="clear" w:color="auto" w:fill="auto"/>
            <w:noWrap/>
            <w:vAlign w:val="bottom"/>
            <w:hideMark/>
          </w:tcPr>
          <w:p w14:paraId="53787C07" w14:textId="77777777" w:rsidR="00BD4D02" w:rsidRPr="00BD4D02" w:rsidRDefault="00BD4D02" w:rsidP="00BD4D02">
            <w:pPr>
              <w:rPr>
                <w:sz w:val="20"/>
                <w:szCs w:val="20"/>
              </w:rPr>
            </w:pPr>
          </w:p>
        </w:tc>
        <w:tc>
          <w:tcPr>
            <w:tcW w:w="663" w:type="dxa"/>
            <w:shd w:val="clear" w:color="auto" w:fill="auto"/>
            <w:noWrap/>
            <w:vAlign w:val="bottom"/>
            <w:hideMark/>
          </w:tcPr>
          <w:p w14:paraId="503B0197" w14:textId="77777777" w:rsidR="00BD4D02" w:rsidRPr="00BD4D02" w:rsidRDefault="00BD4D02" w:rsidP="00BD4D02">
            <w:pPr>
              <w:rPr>
                <w:sz w:val="20"/>
                <w:szCs w:val="20"/>
              </w:rPr>
            </w:pPr>
          </w:p>
        </w:tc>
        <w:tc>
          <w:tcPr>
            <w:tcW w:w="663" w:type="dxa"/>
            <w:shd w:val="clear" w:color="auto" w:fill="auto"/>
            <w:noWrap/>
            <w:vAlign w:val="bottom"/>
            <w:hideMark/>
          </w:tcPr>
          <w:p w14:paraId="02B8F106" w14:textId="77777777" w:rsidR="00BD4D02" w:rsidRPr="00BD4D02" w:rsidRDefault="00BD4D02" w:rsidP="00BD4D02">
            <w:pPr>
              <w:rPr>
                <w:sz w:val="20"/>
                <w:szCs w:val="20"/>
              </w:rPr>
            </w:pPr>
          </w:p>
        </w:tc>
        <w:tc>
          <w:tcPr>
            <w:tcW w:w="663" w:type="dxa"/>
            <w:shd w:val="clear" w:color="auto" w:fill="auto"/>
            <w:noWrap/>
            <w:vAlign w:val="bottom"/>
            <w:hideMark/>
          </w:tcPr>
          <w:p w14:paraId="0C032DA1" w14:textId="77777777" w:rsidR="00BD4D02" w:rsidRPr="00BD4D02" w:rsidRDefault="00BD4D02" w:rsidP="00BD4D02">
            <w:pPr>
              <w:rPr>
                <w:sz w:val="20"/>
                <w:szCs w:val="20"/>
              </w:rPr>
            </w:pPr>
          </w:p>
        </w:tc>
        <w:tc>
          <w:tcPr>
            <w:tcW w:w="663" w:type="dxa"/>
            <w:shd w:val="clear" w:color="auto" w:fill="auto"/>
            <w:noWrap/>
            <w:vAlign w:val="bottom"/>
            <w:hideMark/>
          </w:tcPr>
          <w:p w14:paraId="70FA20AD" w14:textId="77777777" w:rsidR="00BD4D02" w:rsidRPr="00BD4D02" w:rsidRDefault="00BD4D02" w:rsidP="00BD4D02">
            <w:pPr>
              <w:rPr>
                <w:sz w:val="20"/>
                <w:szCs w:val="20"/>
              </w:rPr>
            </w:pPr>
          </w:p>
        </w:tc>
        <w:tc>
          <w:tcPr>
            <w:tcW w:w="663" w:type="dxa"/>
            <w:shd w:val="clear" w:color="auto" w:fill="auto"/>
            <w:noWrap/>
            <w:vAlign w:val="bottom"/>
            <w:hideMark/>
          </w:tcPr>
          <w:p w14:paraId="46C47D9B" w14:textId="77777777" w:rsidR="00BD4D02" w:rsidRPr="00BD4D02" w:rsidRDefault="00BD4D02" w:rsidP="00BD4D02">
            <w:pPr>
              <w:rPr>
                <w:sz w:val="20"/>
                <w:szCs w:val="20"/>
              </w:rPr>
            </w:pPr>
          </w:p>
        </w:tc>
        <w:tc>
          <w:tcPr>
            <w:tcW w:w="1180" w:type="dxa"/>
            <w:shd w:val="clear" w:color="auto" w:fill="auto"/>
            <w:noWrap/>
            <w:vAlign w:val="bottom"/>
            <w:hideMark/>
          </w:tcPr>
          <w:p w14:paraId="7B137C18"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1AB74897" w14:textId="77777777" w:rsidTr="00050580">
        <w:trPr>
          <w:trHeight w:val="144"/>
        </w:trPr>
        <w:tc>
          <w:tcPr>
            <w:tcW w:w="4500" w:type="dxa"/>
            <w:shd w:val="clear" w:color="auto" w:fill="auto"/>
            <w:noWrap/>
            <w:vAlign w:val="bottom"/>
            <w:hideMark/>
          </w:tcPr>
          <w:p w14:paraId="7107133D"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Subsidy regime</w:t>
            </w:r>
          </w:p>
        </w:tc>
        <w:tc>
          <w:tcPr>
            <w:tcW w:w="770" w:type="dxa"/>
            <w:shd w:val="clear" w:color="auto" w:fill="auto"/>
            <w:noWrap/>
            <w:vAlign w:val="bottom"/>
            <w:hideMark/>
          </w:tcPr>
          <w:p w14:paraId="3779FA8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5D8BFDB4"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5E90D03C" w14:textId="77777777" w:rsidR="00BD4D02" w:rsidRPr="00BD4D02" w:rsidRDefault="00BD4D02" w:rsidP="00BD4D02">
            <w:pPr>
              <w:rPr>
                <w:sz w:val="20"/>
                <w:szCs w:val="20"/>
              </w:rPr>
            </w:pPr>
          </w:p>
        </w:tc>
        <w:tc>
          <w:tcPr>
            <w:tcW w:w="663" w:type="dxa"/>
            <w:shd w:val="clear" w:color="auto" w:fill="auto"/>
            <w:noWrap/>
            <w:vAlign w:val="bottom"/>
            <w:hideMark/>
          </w:tcPr>
          <w:p w14:paraId="74917293" w14:textId="77777777" w:rsidR="00BD4D02" w:rsidRPr="00BD4D02" w:rsidRDefault="00BD4D02" w:rsidP="00BD4D02">
            <w:pPr>
              <w:rPr>
                <w:sz w:val="20"/>
                <w:szCs w:val="20"/>
              </w:rPr>
            </w:pPr>
          </w:p>
        </w:tc>
        <w:tc>
          <w:tcPr>
            <w:tcW w:w="663" w:type="dxa"/>
            <w:shd w:val="clear" w:color="auto" w:fill="auto"/>
            <w:noWrap/>
            <w:vAlign w:val="bottom"/>
            <w:hideMark/>
          </w:tcPr>
          <w:p w14:paraId="0AE55702" w14:textId="77777777" w:rsidR="00BD4D02" w:rsidRPr="00BD4D02" w:rsidRDefault="00BD4D02" w:rsidP="00BD4D02">
            <w:pPr>
              <w:rPr>
                <w:sz w:val="20"/>
                <w:szCs w:val="20"/>
              </w:rPr>
            </w:pPr>
          </w:p>
        </w:tc>
        <w:tc>
          <w:tcPr>
            <w:tcW w:w="663" w:type="dxa"/>
            <w:shd w:val="clear" w:color="auto" w:fill="auto"/>
            <w:noWrap/>
            <w:vAlign w:val="bottom"/>
            <w:hideMark/>
          </w:tcPr>
          <w:p w14:paraId="1B47A6E5" w14:textId="77777777" w:rsidR="00BD4D02" w:rsidRPr="00BD4D02" w:rsidRDefault="00BD4D02" w:rsidP="00BD4D02">
            <w:pPr>
              <w:rPr>
                <w:sz w:val="20"/>
                <w:szCs w:val="20"/>
              </w:rPr>
            </w:pPr>
          </w:p>
        </w:tc>
        <w:tc>
          <w:tcPr>
            <w:tcW w:w="663" w:type="dxa"/>
            <w:shd w:val="clear" w:color="auto" w:fill="auto"/>
            <w:noWrap/>
            <w:vAlign w:val="bottom"/>
            <w:hideMark/>
          </w:tcPr>
          <w:p w14:paraId="26DA5764" w14:textId="77777777" w:rsidR="00BD4D02" w:rsidRPr="00BD4D02" w:rsidRDefault="00BD4D02" w:rsidP="00BD4D02">
            <w:pPr>
              <w:rPr>
                <w:sz w:val="20"/>
                <w:szCs w:val="20"/>
              </w:rPr>
            </w:pPr>
          </w:p>
        </w:tc>
        <w:tc>
          <w:tcPr>
            <w:tcW w:w="663" w:type="dxa"/>
            <w:shd w:val="clear" w:color="auto" w:fill="auto"/>
            <w:noWrap/>
            <w:vAlign w:val="bottom"/>
            <w:hideMark/>
          </w:tcPr>
          <w:p w14:paraId="215753A6" w14:textId="77777777" w:rsidR="00BD4D02" w:rsidRPr="00BD4D02" w:rsidRDefault="00BD4D02" w:rsidP="00BD4D02">
            <w:pPr>
              <w:rPr>
                <w:sz w:val="20"/>
                <w:szCs w:val="20"/>
              </w:rPr>
            </w:pPr>
          </w:p>
        </w:tc>
        <w:tc>
          <w:tcPr>
            <w:tcW w:w="663" w:type="dxa"/>
            <w:shd w:val="clear" w:color="auto" w:fill="auto"/>
            <w:noWrap/>
            <w:vAlign w:val="bottom"/>
            <w:hideMark/>
          </w:tcPr>
          <w:p w14:paraId="2E30C340" w14:textId="77777777" w:rsidR="00BD4D02" w:rsidRPr="00BD4D02" w:rsidRDefault="00BD4D02" w:rsidP="00BD4D02">
            <w:pPr>
              <w:rPr>
                <w:sz w:val="20"/>
                <w:szCs w:val="20"/>
              </w:rPr>
            </w:pPr>
          </w:p>
        </w:tc>
        <w:tc>
          <w:tcPr>
            <w:tcW w:w="663" w:type="dxa"/>
            <w:shd w:val="clear" w:color="auto" w:fill="auto"/>
            <w:noWrap/>
            <w:vAlign w:val="bottom"/>
            <w:hideMark/>
          </w:tcPr>
          <w:p w14:paraId="1FBF2DB7" w14:textId="77777777" w:rsidR="00BD4D02" w:rsidRPr="00BD4D02" w:rsidRDefault="00BD4D02" w:rsidP="00BD4D02">
            <w:pPr>
              <w:rPr>
                <w:sz w:val="20"/>
                <w:szCs w:val="20"/>
              </w:rPr>
            </w:pPr>
          </w:p>
        </w:tc>
        <w:tc>
          <w:tcPr>
            <w:tcW w:w="663" w:type="dxa"/>
            <w:shd w:val="clear" w:color="auto" w:fill="auto"/>
            <w:noWrap/>
            <w:vAlign w:val="bottom"/>
            <w:hideMark/>
          </w:tcPr>
          <w:p w14:paraId="0449998E"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1694886C"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1180" w:type="dxa"/>
            <w:shd w:val="clear" w:color="auto" w:fill="auto"/>
            <w:noWrap/>
            <w:vAlign w:val="bottom"/>
            <w:hideMark/>
          </w:tcPr>
          <w:p w14:paraId="5B4254AD"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w:t>
            </w:r>
          </w:p>
        </w:tc>
      </w:tr>
      <w:tr w:rsidR="00BD4D02" w:rsidRPr="00BD4D02" w14:paraId="3A3E75CC" w14:textId="77777777" w:rsidTr="00050580">
        <w:trPr>
          <w:trHeight w:val="144"/>
        </w:trPr>
        <w:tc>
          <w:tcPr>
            <w:tcW w:w="4500" w:type="dxa"/>
            <w:shd w:val="clear" w:color="auto" w:fill="auto"/>
            <w:noWrap/>
            <w:vAlign w:val="bottom"/>
            <w:hideMark/>
          </w:tcPr>
          <w:p w14:paraId="0468973C"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TSPs</w:t>
            </w:r>
          </w:p>
        </w:tc>
        <w:tc>
          <w:tcPr>
            <w:tcW w:w="770" w:type="dxa"/>
            <w:shd w:val="clear" w:color="auto" w:fill="auto"/>
            <w:noWrap/>
            <w:vAlign w:val="bottom"/>
            <w:hideMark/>
          </w:tcPr>
          <w:p w14:paraId="3B7E8C20"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00D26B5D" w14:textId="77777777" w:rsidR="00BD4D02" w:rsidRPr="00BD4D02" w:rsidRDefault="00BD4D02" w:rsidP="00BD4D02">
            <w:pPr>
              <w:rPr>
                <w:sz w:val="20"/>
                <w:szCs w:val="20"/>
              </w:rPr>
            </w:pPr>
          </w:p>
        </w:tc>
        <w:tc>
          <w:tcPr>
            <w:tcW w:w="663" w:type="dxa"/>
            <w:shd w:val="clear" w:color="auto" w:fill="auto"/>
            <w:noWrap/>
            <w:vAlign w:val="bottom"/>
            <w:hideMark/>
          </w:tcPr>
          <w:p w14:paraId="236D8A0E" w14:textId="77777777" w:rsidR="00BD4D02" w:rsidRPr="00BD4D02" w:rsidRDefault="00BD4D02" w:rsidP="00BD4D02">
            <w:pPr>
              <w:rPr>
                <w:sz w:val="20"/>
                <w:szCs w:val="20"/>
              </w:rPr>
            </w:pPr>
          </w:p>
        </w:tc>
        <w:tc>
          <w:tcPr>
            <w:tcW w:w="663" w:type="dxa"/>
            <w:shd w:val="clear" w:color="auto" w:fill="auto"/>
            <w:noWrap/>
            <w:vAlign w:val="bottom"/>
            <w:hideMark/>
          </w:tcPr>
          <w:p w14:paraId="3C560890" w14:textId="77777777" w:rsidR="00BD4D02" w:rsidRPr="00BD4D02" w:rsidRDefault="00BD4D02" w:rsidP="00BD4D02">
            <w:pPr>
              <w:rPr>
                <w:sz w:val="20"/>
                <w:szCs w:val="20"/>
              </w:rPr>
            </w:pPr>
          </w:p>
        </w:tc>
        <w:tc>
          <w:tcPr>
            <w:tcW w:w="663" w:type="dxa"/>
            <w:shd w:val="clear" w:color="auto" w:fill="auto"/>
            <w:noWrap/>
            <w:vAlign w:val="bottom"/>
            <w:hideMark/>
          </w:tcPr>
          <w:p w14:paraId="4B935A9C" w14:textId="77777777" w:rsidR="00BD4D02" w:rsidRPr="00BD4D02" w:rsidRDefault="00BD4D02" w:rsidP="00BD4D02">
            <w:pPr>
              <w:rPr>
                <w:sz w:val="20"/>
                <w:szCs w:val="20"/>
              </w:rPr>
            </w:pPr>
          </w:p>
        </w:tc>
        <w:tc>
          <w:tcPr>
            <w:tcW w:w="663" w:type="dxa"/>
            <w:shd w:val="clear" w:color="auto" w:fill="auto"/>
            <w:noWrap/>
            <w:vAlign w:val="bottom"/>
            <w:hideMark/>
          </w:tcPr>
          <w:p w14:paraId="6F07F02E" w14:textId="77777777" w:rsidR="00BD4D02" w:rsidRPr="00BD4D02" w:rsidRDefault="00BD4D02" w:rsidP="00BD4D02">
            <w:pPr>
              <w:rPr>
                <w:sz w:val="20"/>
                <w:szCs w:val="20"/>
              </w:rPr>
            </w:pPr>
          </w:p>
        </w:tc>
        <w:tc>
          <w:tcPr>
            <w:tcW w:w="663" w:type="dxa"/>
            <w:shd w:val="clear" w:color="auto" w:fill="auto"/>
            <w:noWrap/>
            <w:vAlign w:val="bottom"/>
            <w:hideMark/>
          </w:tcPr>
          <w:p w14:paraId="1E9608ED" w14:textId="77777777" w:rsidR="00BD4D02" w:rsidRPr="00BD4D02" w:rsidRDefault="00BD4D02" w:rsidP="00BD4D02">
            <w:pPr>
              <w:rPr>
                <w:sz w:val="20"/>
                <w:szCs w:val="20"/>
              </w:rPr>
            </w:pPr>
          </w:p>
        </w:tc>
        <w:tc>
          <w:tcPr>
            <w:tcW w:w="663" w:type="dxa"/>
            <w:shd w:val="clear" w:color="auto" w:fill="auto"/>
            <w:noWrap/>
            <w:vAlign w:val="bottom"/>
            <w:hideMark/>
          </w:tcPr>
          <w:p w14:paraId="7CE13B71" w14:textId="77777777" w:rsidR="00BD4D02" w:rsidRPr="00BD4D02" w:rsidRDefault="00BD4D02" w:rsidP="00BD4D02">
            <w:pPr>
              <w:rPr>
                <w:sz w:val="20"/>
                <w:szCs w:val="20"/>
              </w:rPr>
            </w:pPr>
          </w:p>
        </w:tc>
        <w:tc>
          <w:tcPr>
            <w:tcW w:w="663" w:type="dxa"/>
            <w:shd w:val="clear" w:color="auto" w:fill="auto"/>
            <w:noWrap/>
            <w:vAlign w:val="bottom"/>
            <w:hideMark/>
          </w:tcPr>
          <w:p w14:paraId="67B26BF6" w14:textId="77777777" w:rsidR="00BD4D02" w:rsidRPr="00BD4D02" w:rsidRDefault="00BD4D02" w:rsidP="00BD4D02">
            <w:pPr>
              <w:rPr>
                <w:sz w:val="20"/>
                <w:szCs w:val="20"/>
              </w:rPr>
            </w:pPr>
          </w:p>
        </w:tc>
        <w:tc>
          <w:tcPr>
            <w:tcW w:w="663" w:type="dxa"/>
            <w:shd w:val="clear" w:color="auto" w:fill="auto"/>
            <w:noWrap/>
            <w:vAlign w:val="bottom"/>
            <w:hideMark/>
          </w:tcPr>
          <w:p w14:paraId="42E4BDC5" w14:textId="77777777" w:rsidR="00BD4D02" w:rsidRPr="00BD4D02" w:rsidRDefault="00BD4D02" w:rsidP="00BD4D02">
            <w:pPr>
              <w:rPr>
                <w:sz w:val="20"/>
                <w:szCs w:val="20"/>
              </w:rPr>
            </w:pPr>
          </w:p>
        </w:tc>
        <w:tc>
          <w:tcPr>
            <w:tcW w:w="663" w:type="dxa"/>
            <w:shd w:val="clear" w:color="auto" w:fill="auto"/>
            <w:noWrap/>
            <w:vAlign w:val="bottom"/>
            <w:hideMark/>
          </w:tcPr>
          <w:p w14:paraId="5C50FCA4"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29F903C2" w14:textId="77777777" w:rsidR="00BD4D02" w:rsidRPr="00BD4D02" w:rsidRDefault="00BD4D02" w:rsidP="00BD4D02">
            <w:pPr>
              <w:jc w:val="right"/>
              <w:rPr>
                <w:rFonts w:ascii="Calibri" w:hAnsi="Calibri" w:cs="Calibri"/>
                <w:color w:val="000000"/>
                <w:sz w:val="20"/>
                <w:szCs w:val="20"/>
              </w:rPr>
            </w:pPr>
          </w:p>
        </w:tc>
        <w:tc>
          <w:tcPr>
            <w:tcW w:w="1180" w:type="dxa"/>
            <w:shd w:val="clear" w:color="auto" w:fill="auto"/>
            <w:noWrap/>
            <w:vAlign w:val="bottom"/>
            <w:hideMark/>
          </w:tcPr>
          <w:p w14:paraId="5111FDB2"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275326C0" w14:textId="77777777" w:rsidTr="00050580">
        <w:trPr>
          <w:trHeight w:val="144"/>
        </w:trPr>
        <w:tc>
          <w:tcPr>
            <w:tcW w:w="4500" w:type="dxa"/>
            <w:shd w:val="clear" w:color="auto" w:fill="auto"/>
            <w:noWrap/>
            <w:vAlign w:val="bottom"/>
            <w:hideMark/>
          </w:tcPr>
          <w:p w14:paraId="0939EEAD" w14:textId="77777777" w:rsidR="00BD4D02" w:rsidRPr="00BD4D02" w:rsidRDefault="00BD4D02" w:rsidP="00BD4D02">
            <w:pPr>
              <w:ind w:firstLineChars="100" w:firstLine="201"/>
              <w:rPr>
                <w:rFonts w:ascii="Calibri" w:hAnsi="Calibri" w:cs="Calibri"/>
                <w:b/>
                <w:bCs/>
                <w:color w:val="000000"/>
                <w:sz w:val="20"/>
                <w:szCs w:val="20"/>
              </w:rPr>
            </w:pPr>
            <w:r w:rsidRPr="00BD4D02">
              <w:rPr>
                <w:rFonts w:ascii="Calibri" w:hAnsi="Calibri" w:cs="Calibri"/>
                <w:b/>
                <w:bCs/>
                <w:color w:val="000000"/>
                <w:sz w:val="20"/>
                <w:szCs w:val="20"/>
              </w:rPr>
              <w:t>Financial performance</w:t>
            </w:r>
          </w:p>
        </w:tc>
        <w:tc>
          <w:tcPr>
            <w:tcW w:w="770" w:type="dxa"/>
            <w:shd w:val="clear" w:color="auto" w:fill="auto"/>
            <w:noWrap/>
            <w:vAlign w:val="bottom"/>
            <w:hideMark/>
          </w:tcPr>
          <w:p w14:paraId="0E8614FA"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51</w:t>
            </w:r>
          </w:p>
        </w:tc>
        <w:tc>
          <w:tcPr>
            <w:tcW w:w="663" w:type="dxa"/>
            <w:shd w:val="clear" w:color="auto" w:fill="auto"/>
            <w:noWrap/>
            <w:vAlign w:val="bottom"/>
            <w:hideMark/>
          </w:tcPr>
          <w:p w14:paraId="48DF8227"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41</w:t>
            </w:r>
          </w:p>
        </w:tc>
        <w:tc>
          <w:tcPr>
            <w:tcW w:w="663" w:type="dxa"/>
            <w:shd w:val="clear" w:color="auto" w:fill="auto"/>
            <w:noWrap/>
            <w:vAlign w:val="bottom"/>
            <w:hideMark/>
          </w:tcPr>
          <w:p w14:paraId="4190E903"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56</w:t>
            </w:r>
          </w:p>
        </w:tc>
        <w:tc>
          <w:tcPr>
            <w:tcW w:w="663" w:type="dxa"/>
            <w:shd w:val="clear" w:color="auto" w:fill="auto"/>
            <w:noWrap/>
            <w:vAlign w:val="bottom"/>
            <w:hideMark/>
          </w:tcPr>
          <w:p w14:paraId="6F47DF92"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61</w:t>
            </w:r>
          </w:p>
        </w:tc>
        <w:tc>
          <w:tcPr>
            <w:tcW w:w="663" w:type="dxa"/>
            <w:shd w:val="clear" w:color="auto" w:fill="auto"/>
            <w:noWrap/>
            <w:vAlign w:val="bottom"/>
            <w:hideMark/>
          </w:tcPr>
          <w:p w14:paraId="3358C8D2"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60</w:t>
            </w:r>
          </w:p>
        </w:tc>
        <w:tc>
          <w:tcPr>
            <w:tcW w:w="663" w:type="dxa"/>
            <w:shd w:val="clear" w:color="auto" w:fill="auto"/>
            <w:noWrap/>
            <w:vAlign w:val="bottom"/>
            <w:hideMark/>
          </w:tcPr>
          <w:p w14:paraId="701CDF9A"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57</w:t>
            </w:r>
          </w:p>
        </w:tc>
        <w:tc>
          <w:tcPr>
            <w:tcW w:w="663" w:type="dxa"/>
            <w:shd w:val="clear" w:color="auto" w:fill="auto"/>
            <w:noWrap/>
            <w:vAlign w:val="bottom"/>
            <w:hideMark/>
          </w:tcPr>
          <w:p w14:paraId="1EBB0372"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81</w:t>
            </w:r>
          </w:p>
        </w:tc>
        <w:tc>
          <w:tcPr>
            <w:tcW w:w="663" w:type="dxa"/>
            <w:shd w:val="clear" w:color="auto" w:fill="auto"/>
            <w:noWrap/>
            <w:vAlign w:val="bottom"/>
            <w:hideMark/>
          </w:tcPr>
          <w:p w14:paraId="077FE07E"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74</w:t>
            </w:r>
          </w:p>
        </w:tc>
        <w:tc>
          <w:tcPr>
            <w:tcW w:w="663" w:type="dxa"/>
            <w:shd w:val="clear" w:color="auto" w:fill="auto"/>
            <w:noWrap/>
            <w:vAlign w:val="bottom"/>
            <w:hideMark/>
          </w:tcPr>
          <w:p w14:paraId="4FD3FE77"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75</w:t>
            </w:r>
          </w:p>
        </w:tc>
        <w:tc>
          <w:tcPr>
            <w:tcW w:w="663" w:type="dxa"/>
            <w:shd w:val="clear" w:color="auto" w:fill="auto"/>
            <w:noWrap/>
            <w:vAlign w:val="bottom"/>
            <w:hideMark/>
          </w:tcPr>
          <w:p w14:paraId="12D5FA05"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78</w:t>
            </w:r>
          </w:p>
        </w:tc>
        <w:tc>
          <w:tcPr>
            <w:tcW w:w="663" w:type="dxa"/>
            <w:shd w:val="clear" w:color="auto" w:fill="auto"/>
            <w:noWrap/>
            <w:vAlign w:val="bottom"/>
            <w:hideMark/>
          </w:tcPr>
          <w:p w14:paraId="35E53CAD"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28</w:t>
            </w:r>
          </w:p>
        </w:tc>
        <w:tc>
          <w:tcPr>
            <w:tcW w:w="663" w:type="dxa"/>
            <w:shd w:val="clear" w:color="auto" w:fill="auto"/>
            <w:noWrap/>
            <w:vAlign w:val="bottom"/>
            <w:hideMark/>
          </w:tcPr>
          <w:p w14:paraId="36558ECB"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47</w:t>
            </w:r>
          </w:p>
        </w:tc>
        <w:tc>
          <w:tcPr>
            <w:tcW w:w="1180" w:type="dxa"/>
            <w:shd w:val="clear" w:color="auto" w:fill="auto"/>
            <w:noWrap/>
            <w:vAlign w:val="bottom"/>
            <w:hideMark/>
          </w:tcPr>
          <w:p w14:paraId="0B53C256"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709</w:t>
            </w:r>
          </w:p>
        </w:tc>
      </w:tr>
      <w:tr w:rsidR="00BD4D02" w:rsidRPr="00BD4D02" w14:paraId="32ED980F" w14:textId="77777777" w:rsidTr="00050580">
        <w:trPr>
          <w:trHeight w:val="144"/>
        </w:trPr>
        <w:tc>
          <w:tcPr>
            <w:tcW w:w="4500" w:type="dxa"/>
            <w:shd w:val="clear" w:color="auto" w:fill="auto"/>
            <w:noWrap/>
            <w:vAlign w:val="bottom"/>
            <w:hideMark/>
          </w:tcPr>
          <w:p w14:paraId="3C024E7F"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Alternative TSP - revenue</w:t>
            </w:r>
          </w:p>
        </w:tc>
        <w:tc>
          <w:tcPr>
            <w:tcW w:w="770" w:type="dxa"/>
            <w:shd w:val="clear" w:color="auto" w:fill="auto"/>
            <w:noWrap/>
            <w:vAlign w:val="bottom"/>
            <w:hideMark/>
          </w:tcPr>
          <w:p w14:paraId="3F8A2133"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31286ACF"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76965366" w14:textId="77777777" w:rsidR="00BD4D02" w:rsidRPr="00BD4D02" w:rsidRDefault="00BD4D02" w:rsidP="00BD4D02">
            <w:pPr>
              <w:rPr>
                <w:sz w:val="20"/>
                <w:szCs w:val="20"/>
              </w:rPr>
            </w:pPr>
          </w:p>
        </w:tc>
        <w:tc>
          <w:tcPr>
            <w:tcW w:w="663" w:type="dxa"/>
            <w:shd w:val="clear" w:color="auto" w:fill="auto"/>
            <w:noWrap/>
            <w:vAlign w:val="bottom"/>
            <w:hideMark/>
          </w:tcPr>
          <w:p w14:paraId="000A65D9" w14:textId="77777777" w:rsidR="00BD4D02" w:rsidRPr="00BD4D02" w:rsidRDefault="00BD4D02" w:rsidP="00BD4D02">
            <w:pPr>
              <w:rPr>
                <w:sz w:val="20"/>
                <w:szCs w:val="20"/>
              </w:rPr>
            </w:pPr>
          </w:p>
        </w:tc>
        <w:tc>
          <w:tcPr>
            <w:tcW w:w="663" w:type="dxa"/>
            <w:shd w:val="clear" w:color="auto" w:fill="auto"/>
            <w:noWrap/>
            <w:vAlign w:val="bottom"/>
            <w:hideMark/>
          </w:tcPr>
          <w:p w14:paraId="29F1D7A0" w14:textId="77777777" w:rsidR="00BD4D02" w:rsidRPr="00BD4D02" w:rsidRDefault="00BD4D02" w:rsidP="00BD4D02">
            <w:pPr>
              <w:rPr>
                <w:sz w:val="20"/>
                <w:szCs w:val="20"/>
              </w:rPr>
            </w:pPr>
          </w:p>
        </w:tc>
        <w:tc>
          <w:tcPr>
            <w:tcW w:w="663" w:type="dxa"/>
            <w:shd w:val="clear" w:color="auto" w:fill="auto"/>
            <w:noWrap/>
            <w:vAlign w:val="bottom"/>
            <w:hideMark/>
          </w:tcPr>
          <w:p w14:paraId="3DE9EBE5" w14:textId="77777777" w:rsidR="00BD4D02" w:rsidRPr="00BD4D02" w:rsidRDefault="00BD4D02" w:rsidP="00BD4D02">
            <w:pPr>
              <w:rPr>
                <w:sz w:val="20"/>
                <w:szCs w:val="20"/>
              </w:rPr>
            </w:pPr>
          </w:p>
        </w:tc>
        <w:tc>
          <w:tcPr>
            <w:tcW w:w="663" w:type="dxa"/>
            <w:shd w:val="clear" w:color="auto" w:fill="auto"/>
            <w:noWrap/>
            <w:vAlign w:val="bottom"/>
            <w:hideMark/>
          </w:tcPr>
          <w:p w14:paraId="520B7E57" w14:textId="77777777" w:rsidR="00BD4D02" w:rsidRPr="00BD4D02" w:rsidRDefault="00BD4D02" w:rsidP="00BD4D02">
            <w:pPr>
              <w:rPr>
                <w:sz w:val="20"/>
                <w:szCs w:val="20"/>
              </w:rPr>
            </w:pPr>
          </w:p>
        </w:tc>
        <w:tc>
          <w:tcPr>
            <w:tcW w:w="663" w:type="dxa"/>
            <w:shd w:val="clear" w:color="auto" w:fill="auto"/>
            <w:noWrap/>
            <w:vAlign w:val="bottom"/>
            <w:hideMark/>
          </w:tcPr>
          <w:p w14:paraId="1DFABAC1" w14:textId="77777777" w:rsidR="00BD4D02" w:rsidRPr="00BD4D02" w:rsidRDefault="00BD4D02" w:rsidP="00BD4D02">
            <w:pPr>
              <w:rPr>
                <w:sz w:val="20"/>
                <w:szCs w:val="20"/>
              </w:rPr>
            </w:pPr>
          </w:p>
        </w:tc>
        <w:tc>
          <w:tcPr>
            <w:tcW w:w="663" w:type="dxa"/>
            <w:shd w:val="clear" w:color="auto" w:fill="auto"/>
            <w:noWrap/>
            <w:vAlign w:val="bottom"/>
            <w:hideMark/>
          </w:tcPr>
          <w:p w14:paraId="36DB4E36" w14:textId="77777777" w:rsidR="00BD4D02" w:rsidRPr="00BD4D02" w:rsidRDefault="00BD4D02" w:rsidP="00BD4D02">
            <w:pPr>
              <w:rPr>
                <w:sz w:val="20"/>
                <w:szCs w:val="20"/>
              </w:rPr>
            </w:pPr>
          </w:p>
        </w:tc>
        <w:tc>
          <w:tcPr>
            <w:tcW w:w="663" w:type="dxa"/>
            <w:shd w:val="clear" w:color="auto" w:fill="auto"/>
            <w:noWrap/>
            <w:vAlign w:val="bottom"/>
            <w:hideMark/>
          </w:tcPr>
          <w:p w14:paraId="16544E21" w14:textId="77777777" w:rsidR="00BD4D02" w:rsidRPr="00BD4D02" w:rsidRDefault="00BD4D02" w:rsidP="00BD4D02">
            <w:pPr>
              <w:rPr>
                <w:sz w:val="20"/>
                <w:szCs w:val="20"/>
              </w:rPr>
            </w:pPr>
          </w:p>
        </w:tc>
        <w:tc>
          <w:tcPr>
            <w:tcW w:w="663" w:type="dxa"/>
            <w:shd w:val="clear" w:color="auto" w:fill="auto"/>
            <w:noWrap/>
            <w:vAlign w:val="bottom"/>
            <w:hideMark/>
          </w:tcPr>
          <w:p w14:paraId="3B45F9AB" w14:textId="77777777" w:rsidR="00BD4D02" w:rsidRPr="00BD4D02" w:rsidRDefault="00BD4D02" w:rsidP="00BD4D02">
            <w:pPr>
              <w:rPr>
                <w:sz w:val="20"/>
                <w:szCs w:val="20"/>
              </w:rPr>
            </w:pPr>
          </w:p>
        </w:tc>
        <w:tc>
          <w:tcPr>
            <w:tcW w:w="663" w:type="dxa"/>
            <w:shd w:val="clear" w:color="auto" w:fill="auto"/>
            <w:noWrap/>
            <w:vAlign w:val="bottom"/>
            <w:hideMark/>
          </w:tcPr>
          <w:p w14:paraId="0687D903" w14:textId="77777777" w:rsidR="00BD4D02" w:rsidRPr="00BD4D02" w:rsidRDefault="00BD4D02" w:rsidP="00BD4D02">
            <w:pPr>
              <w:rPr>
                <w:sz w:val="20"/>
                <w:szCs w:val="20"/>
              </w:rPr>
            </w:pPr>
          </w:p>
        </w:tc>
        <w:tc>
          <w:tcPr>
            <w:tcW w:w="1180" w:type="dxa"/>
            <w:shd w:val="clear" w:color="auto" w:fill="auto"/>
            <w:noWrap/>
            <w:vAlign w:val="bottom"/>
            <w:hideMark/>
          </w:tcPr>
          <w:p w14:paraId="249CEAEF"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3E48A3BE" w14:textId="77777777" w:rsidTr="00050580">
        <w:trPr>
          <w:trHeight w:val="144"/>
        </w:trPr>
        <w:tc>
          <w:tcPr>
            <w:tcW w:w="4500" w:type="dxa"/>
            <w:shd w:val="clear" w:color="auto" w:fill="auto"/>
            <w:noWrap/>
            <w:vAlign w:val="bottom"/>
            <w:hideMark/>
          </w:tcPr>
          <w:p w14:paraId="5FEF4AFE"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ARPU</w:t>
            </w:r>
          </w:p>
        </w:tc>
        <w:tc>
          <w:tcPr>
            <w:tcW w:w="770" w:type="dxa"/>
            <w:shd w:val="clear" w:color="auto" w:fill="auto"/>
            <w:noWrap/>
            <w:vAlign w:val="bottom"/>
            <w:hideMark/>
          </w:tcPr>
          <w:p w14:paraId="7A1CE06A"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40DA4329"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104F5117" w14:textId="77777777" w:rsidR="00BD4D02" w:rsidRPr="00BD4D02" w:rsidRDefault="00BD4D02" w:rsidP="00BD4D02">
            <w:pPr>
              <w:rPr>
                <w:sz w:val="20"/>
                <w:szCs w:val="20"/>
              </w:rPr>
            </w:pPr>
          </w:p>
        </w:tc>
        <w:tc>
          <w:tcPr>
            <w:tcW w:w="663" w:type="dxa"/>
            <w:shd w:val="clear" w:color="auto" w:fill="auto"/>
            <w:noWrap/>
            <w:vAlign w:val="bottom"/>
            <w:hideMark/>
          </w:tcPr>
          <w:p w14:paraId="4DE6A6FD"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24A10444"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502D5BB3"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w:t>
            </w:r>
          </w:p>
        </w:tc>
        <w:tc>
          <w:tcPr>
            <w:tcW w:w="663" w:type="dxa"/>
            <w:shd w:val="clear" w:color="auto" w:fill="auto"/>
            <w:noWrap/>
            <w:vAlign w:val="bottom"/>
            <w:hideMark/>
          </w:tcPr>
          <w:p w14:paraId="7723C84D"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32C82FDA"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44E09E07"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781B5898"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4C22A83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689B4C12"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w:t>
            </w:r>
          </w:p>
        </w:tc>
        <w:tc>
          <w:tcPr>
            <w:tcW w:w="1180" w:type="dxa"/>
            <w:shd w:val="clear" w:color="auto" w:fill="auto"/>
            <w:noWrap/>
            <w:vAlign w:val="bottom"/>
            <w:hideMark/>
          </w:tcPr>
          <w:p w14:paraId="28C23A70"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15</w:t>
            </w:r>
          </w:p>
        </w:tc>
      </w:tr>
      <w:tr w:rsidR="00BD4D02" w:rsidRPr="00BD4D02" w14:paraId="75638268" w14:textId="77777777" w:rsidTr="00050580">
        <w:trPr>
          <w:trHeight w:val="144"/>
        </w:trPr>
        <w:tc>
          <w:tcPr>
            <w:tcW w:w="4500" w:type="dxa"/>
            <w:shd w:val="clear" w:color="auto" w:fill="auto"/>
            <w:noWrap/>
            <w:vAlign w:val="bottom"/>
            <w:hideMark/>
          </w:tcPr>
          <w:p w14:paraId="03BE8DB0"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Capital expenditure</w:t>
            </w:r>
          </w:p>
        </w:tc>
        <w:tc>
          <w:tcPr>
            <w:tcW w:w="770" w:type="dxa"/>
            <w:shd w:val="clear" w:color="auto" w:fill="auto"/>
            <w:noWrap/>
            <w:vAlign w:val="bottom"/>
            <w:hideMark/>
          </w:tcPr>
          <w:p w14:paraId="404E4E5D"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w:t>
            </w:r>
          </w:p>
        </w:tc>
        <w:tc>
          <w:tcPr>
            <w:tcW w:w="663" w:type="dxa"/>
            <w:shd w:val="clear" w:color="auto" w:fill="auto"/>
            <w:noWrap/>
            <w:vAlign w:val="bottom"/>
            <w:hideMark/>
          </w:tcPr>
          <w:p w14:paraId="17210CD2"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69F58F4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w:t>
            </w:r>
          </w:p>
        </w:tc>
        <w:tc>
          <w:tcPr>
            <w:tcW w:w="663" w:type="dxa"/>
            <w:shd w:val="clear" w:color="auto" w:fill="auto"/>
            <w:noWrap/>
            <w:vAlign w:val="bottom"/>
            <w:hideMark/>
          </w:tcPr>
          <w:p w14:paraId="0C85AEF2"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7F9536D4"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1A6556B5"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3CBC229D"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1888B81B" w14:textId="77777777" w:rsidR="00BD4D02" w:rsidRPr="00BD4D02" w:rsidRDefault="00BD4D02" w:rsidP="00BD4D02">
            <w:pPr>
              <w:rPr>
                <w:sz w:val="20"/>
                <w:szCs w:val="20"/>
              </w:rPr>
            </w:pPr>
          </w:p>
        </w:tc>
        <w:tc>
          <w:tcPr>
            <w:tcW w:w="663" w:type="dxa"/>
            <w:shd w:val="clear" w:color="auto" w:fill="auto"/>
            <w:noWrap/>
            <w:vAlign w:val="bottom"/>
            <w:hideMark/>
          </w:tcPr>
          <w:p w14:paraId="500B99D5" w14:textId="77777777" w:rsidR="00BD4D02" w:rsidRPr="00BD4D02" w:rsidRDefault="00BD4D02" w:rsidP="00BD4D02">
            <w:pPr>
              <w:rPr>
                <w:sz w:val="20"/>
                <w:szCs w:val="20"/>
              </w:rPr>
            </w:pPr>
          </w:p>
        </w:tc>
        <w:tc>
          <w:tcPr>
            <w:tcW w:w="663" w:type="dxa"/>
            <w:shd w:val="clear" w:color="auto" w:fill="auto"/>
            <w:noWrap/>
            <w:vAlign w:val="bottom"/>
            <w:hideMark/>
          </w:tcPr>
          <w:p w14:paraId="681958CB" w14:textId="77777777" w:rsidR="00BD4D02" w:rsidRPr="00BD4D02" w:rsidRDefault="00BD4D02" w:rsidP="00BD4D02">
            <w:pPr>
              <w:rPr>
                <w:sz w:val="20"/>
                <w:szCs w:val="20"/>
              </w:rPr>
            </w:pPr>
          </w:p>
        </w:tc>
        <w:tc>
          <w:tcPr>
            <w:tcW w:w="663" w:type="dxa"/>
            <w:shd w:val="clear" w:color="auto" w:fill="auto"/>
            <w:noWrap/>
            <w:vAlign w:val="bottom"/>
            <w:hideMark/>
          </w:tcPr>
          <w:p w14:paraId="2F704A79"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w:t>
            </w:r>
          </w:p>
        </w:tc>
        <w:tc>
          <w:tcPr>
            <w:tcW w:w="663" w:type="dxa"/>
            <w:shd w:val="clear" w:color="auto" w:fill="auto"/>
            <w:noWrap/>
            <w:vAlign w:val="bottom"/>
            <w:hideMark/>
          </w:tcPr>
          <w:p w14:paraId="01E5DEED"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5</w:t>
            </w:r>
          </w:p>
        </w:tc>
        <w:tc>
          <w:tcPr>
            <w:tcW w:w="1180" w:type="dxa"/>
            <w:shd w:val="clear" w:color="auto" w:fill="auto"/>
            <w:noWrap/>
            <w:vAlign w:val="bottom"/>
            <w:hideMark/>
          </w:tcPr>
          <w:p w14:paraId="6AA5CAD7"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22</w:t>
            </w:r>
          </w:p>
        </w:tc>
      </w:tr>
      <w:tr w:rsidR="00BD4D02" w:rsidRPr="00BD4D02" w14:paraId="6CF69EFE" w14:textId="77777777" w:rsidTr="00050580">
        <w:trPr>
          <w:trHeight w:val="144"/>
        </w:trPr>
        <w:tc>
          <w:tcPr>
            <w:tcW w:w="4500" w:type="dxa"/>
            <w:shd w:val="clear" w:color="auto" w:fill="auto"/>
            <w:noWrap/>
            <w:vAlign w:val="bottom"/>
            <w:hideMark/>
          </w:tcPr>
          <w:p w14:paraId="058EBAA2"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Capital expenditure - telecommunications</w:t>
            </w:r>
          </w:p>
        </w:tc>
        <w:tc>
          <w:tcPr>
            <w:tcW w:w="770" w:type="dxa"/>
            <w:shd w:val="clear" w:color="auto" w:fill="auto"/>
            <w:noWrap/>
            <w:vAlign w:val="bottom"/>
            <w:hideMark/>
          </w:tcPr>
          <w:p w14:paraId="4F9A8D3A"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7728C2A2" w14:textId="77777777" w:rsidR="00BD4D02" w:rsidRPr="00BD4D02" w:rsidRDefault="00BD4D02" w:rsidP="00BD4D02">
            <w:pPr>
              <w:rPr>
                <w:sz w:val="20"/>
                <w:szCs w:val="20"/>
              </w:rPr>
            </w:pPr>
          </w:p>
        </w:tc>
        <w:tc>
          <w:tcPr>
            <w:tcW w:w="663" w:type="dxa"/>
            <w:shd w:val="clear" w:color="auto" w:fill="auto"/>
            <w:noWrap/>
            <w:vAlign w:val="bottom"/>
            <w:hideMark/>
          </w:tcPr>
          <w:p w14:paraId="71BFB583" w14:textId="77777777" w:rsidR="00BD4D02" w:rsidRPr="00BD4D02" w:rsidRDefault="00BD4D02" w:rsidP="00BD4D02">
            <w:pPr>
              <w:rPr>
                <w:sz w:val="20"/>
                <w:szCs w:val="20"/>
              </w:rPr>
            </w:pPr>
          </w:p>
        </w:tc>
        <w:tc>
          <w:tcPr>
            <w:tcW w:w="663" w:type="dxa"/>
            <w:shd w:val="clear" w:color="auto" w:fill="auto"/>
            <w:noWrap/>
            <w:vAlign w:val="bottom"/>
            <w:hideMark/>
          </w:tcPr>
          <w:p w14:paraId="62A35BBF" w14:textId="77777777" w:rsidR="00BD4D02" w:rsidRPr="00BD4D02" w:rsidRDefault="00BD4D02" w:rsidP="00BD4D02">
            <w:pPr>
              <w:rPr>
                <w:sz w:val="20"/>
                <w:szCs w:val="20"/>
              </w:rPr>
            </w:pPr>
          </w:p>
        </w:tc>
        <w:tc>
          <w:tcPr>
            <w:tcW w:w="663" w:type="dxa"/>
            <w:shd w:val="clear" w:color="auto" w:fill="auto"/>
            <w:noWrap/>
            <w:vAlign w:val="bottom"/>
            <w:hideMark/>
          </w:tcPr>
          <w:p w14:paraId="3003A3A7" w14:textId="77777777" w:rsidR="00BD4D02" w:rsidRPr="00BD4D02" w:rsidRDefault="00BD4D02" w:rsidP="00BD4D02">
            <w:pPr>
              <w:rPr>
                <w:sz w:val="20"/>
                <w:szCs w:val="20"/>
              </w:rPr>
            </w:pPr>
          </w:p>
        </w:tc>
        <w:tc>
          <w:tcPr>
            <w:tcW w:w="663" w:type="dxa"/>
            <w:shd w:val="clear" w:color="auto" w:fill="auto"/>
            <w:noWrap/>
            <w:vAlign w:val="bottom"/>
            <w:hideMark/>
          </w:tcPr>
          <w:p w14:paraId="16A9FB69" w14:textId="77777777" w:rsidR="00BD4D02" w:rsidRPr="00BD4D02" w:rsidRDefault="00BD4D02" w:rsidP="00BD4D02">
            <w:pPr>
              <w:rPr>
                <w:sz w:val="20"/>
                <w:szCs w:val="20"/>
              </w:rPr>
            </w:pPr>
          </w:p>
        </w:tc>
        <w:tc>
          <w:tcPr>
            <w:tcW w:w="663" w:type="dxa"/>
            <w:shd w:val="clear" w:color="auto" w:fill="auto"/>
            <w:noWrap/>
            <w:vAlign w:val="bottom"/>
            <w:hideMark/>
          </w:tcPr>
          <w:p w14:paraId="121EB866"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3F94DEF2"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4D39C51A"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3C4B5275"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30A72E71"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18AD7A06" w14:textId="77777777" w:rsidR="00BD4D02" w:rsidRPr="00BD4D02" w:rsidRDefault="00BD4D02" w:rsidP="00BD4D02">
            <w:pPr>
              <w:rPr>
                <w:sz w:val="20"/>
                <w:szCs w:val="20"/>
              </w:rPr>
            </w:pPr>
          </w:p>
        </w:tc>
        <w:tc>
          <w:tcPr>
            <w:tcW w:w="1180" w:type="dxa"/>
            <w:shd w:val="clear" w:color="auto" w:fill="auto"/>
            <w:noWrap/>
            <w:vAlign w:val="bottom"/>
            <w:hideMark/>
          </w:tcPr>
          <w:p w14:paraId="522EEAE8"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8</w:t>
            </w:r>
          </w:p>
        </w:tc>
      </w:tr>
      <w:tr w:rsidR="00BD4D02" w:rsidRPr="00BD4D02" w14:paraId="2BA75989" w14:textId="77777777" w:rsidTr="00050580">
        <w:trPr>
          <w:trHeight w:val="144"/>
        </w:trPr>
        <w:tc>
          <w:tcPr>
            <w:tcW w:w="4500" w:type="dxa"/>
            <w:shd w:val="clear" w:color="auto" w:fill="auto"/>
            <w:noWrap/>
            <w:vAlign w:val="bottom"/>
            <w:hideMark/>
          </w:tcPr>
          <w:p w14:paraId="4C3E78DF"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EBITDA</w:t>
            </w:r>
          </w:p>
        </w:tc>
        <w:tc>
          <w:tcPr>
            <w:tcW w:w="770" w:type="dxa"/>
            <w:shd w:val="clear" w:color="auto" w:fill="auto"/>
            <w:noWrap/>
            <w:vAlign w:val="bottom"/>
            <w:hideMark/>
          </w:tcPr>
          <w:p w14:paraId="13AFF3EF"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602DC108" w14:textId="77777777" w:rsidR="00BD4D02" w:rsidRPr="00BD4D02" w:rsidRDefault="00BD4D02" w:rsidP="00BD4D02">
            <w:pPr>
              <w:rPr>
                <w:sz w:val="20"/>
                <w:szCs w:val="20"/>
              </w:rPr>
            </w:pPr>
          </w:p>
        </w:tc>
        <w:tc>
          <w:tcPr>
            <w:tcW w:w="663" w:type="dxa"/>
            <w:shd w:val="clear" w:color="auto" w:fill="auto"/>
            <w:noWrap/>
            <w:vAlign w:val="bottom"/>
            <w:hideMark/>
          </w:tcPr>
          <w:p w14:paraId="56534C5C" w14:textId="77777777" w:rsidR="00BD4D02" w:rsidRPr="00BD4D02" w:rsidRDefault="00BD4D02" w:rsidP="00BD4D02">
            <w:pPr>
              <w:rPr>
                <w:sz w:val="20"/>
                <w:szCs w:val="20"/>
              </w:rPr>
            </w:pPr>
          </w:p>
        </w:tc>
        <w:tc>
          <w:tcPr>
            <w:tcW w:w="663" w:type="dxa"/>
            <w:shd w:val="clear" w:color="auto" w:fill="auto"/>
            <w:noWrap/>
            <w:vAlign w:val="bottom"/>
            <w:hideMark/>
          </w:tcPr>
          <w:p w14:paraId="54A55A4F" w14:textId="77777777" w:rsidR="00BD4D02" w:rsidRPr="00BD4D02" w:rsidRDefault="00BD4D02" w:rsidP="00BD4D02">
            <w:pPr>
              <w:rPr>
                <w:sz w:val="20"/>
                <w:szCs w:val="20"/>
              </w:rPr>
            </w:pPr>
          </w:p>
        </w:tc>
        <w:tc>
          <w:tcPr>
            <w:tcW w:w="663" w:type="dxa"/>
            <w:shd w:val="clear" w:color="auto" w:fill="auto"/>
            <w:noWrap/>
            <w:vAlign w:val="bottom"/>
            <w:hideMark/>
          </w:tcPr>
          <w:p w14:paraId="66867053" w14:textId="77777777" w:rsidR="00BD4D02" w:rsidRPr="00BD4D02" w:rsidRDefault="00BD4D02" w:rsidP="00BD4D02">
            <w:pPr>
              <w:rPr>
                <w:sz w:val="20"/>
                <w:szCs w:val="20"/>
              </w:rPr>
            </w:pPr>
          </w:p>
        </w:tc>
        <w:tc>
          <w:tcPr>
            <w:tcW w:w="663" w:type="dxa"/>
            <w:shd w:val="clear" w:color="auto" w:fill="auto"/>
            <w:noWrap/>
            <w:vAlign w:val="bottom"/>
            <w:hideMark/>
          </w:tcPr>
          <w:p w14:paraId="4E900202" w14:textId="77777777" w:rsidR="00BD4D02" w:rsidRPr="00BD4D02" w:rsidRDefault="00BD4D02" w:rsidP="00BD4D02">
            <w:pPr>
              <w:rPr>
                <w:sz w:val="20"/>
                <w:szCs w:val="20"/>
              </w:rPr>
            </w:pPr>
          </w:p>
        </w:tc>
        <w:tc>
          <w:tcPr>
            <w:tcW w:w="663" w:type="dxa"/>
            <w:shd w:val="clear" w:color="auto" w:fill="auto"/>
            <w:noWrap/>
            <w:vAlign w:val="bottom"/>
            <w:hideMark/>
          </w:tcPr>
          <w:p w14:paraId="05A9E91C" w14:textId="77777777" w:rsidR="00BD4D02" w:rsidRPr="00BD4D02" w:rsidRDefault="00BD4D02" w:rsidP="00BD4D02">
            <w:pPr>
              <w:rPr>
                <w:sz w:val="20"/>
                <w:szCs w:val="20"/>
              </w:rPr>
            </w:pPr>
          </w:p>
        </w:tc>
        <w:tc>
          <w:tcPr>
            <w:tcW w:w="663" w:type="dxa"/>
            <w:shd w:val="clear" w:color="auto" w:fill="auto"/>
            <w:noWrap/>
            <w:vAlign w:val="bottom"/>
            <w:hideMark/>
          </w:tcPr>
          <w:p w14:paraId="62609D9A" w14:textId="77777777" w:rsidR="00BD4D02" w:rsidRPr="00BD4D02" w:rsidRDefault="00BD4D02" w:rsidP="00BD4D02">
            <w:pPr>
              <w:rPr>
                <w:sz w:val="20"/>
                <w:szCs w:val="20"/>
              </w:rPr>
            </w:pPr>
          </w:p>
        </w:tc>
        <w:tc>
          <w:tcPr>
            <w:tcW w:w="663" w:type="dxa"/>
            <w:shd w:val="clear" w:color="auto" w:fill="auto"/>
            <w:noWrap/>
            <w:vAlign w:val="bottom"/>
            <w:hideMark/>
          </w:tcPr>
          <w:p w14:paraId="2F8B1342" w14:textId="77777777" w:rsidR="00BD4D02" w:rsidRPr="00BD4D02" w:rsidRDefault="00BD4D02" w:rsidP="00BD4D02">
            <w:pPr>
              <w:rPr>
                <w:sz w:val="20"/>
                <w:szCs w:val="20"/>
              </w:rPr>
            </w:pPr>
          </w:p>
        </w:tc>
        <w:tc>
          <w:tcPr>
            <w:tcW w:w="663" w:type="dxa"/>
            <w:shd w:val="clear" w:color="auto" w:fill="auto"/>
            <w:noWrap/>
            <w:vAlign w:val="bottom"/>
            <w:hideMark/>
          </w:tcPr>
          <w:p w14:paraId="056E9D8D" w14:textId="77777777" w:rsidR="00BD4D02" w:rsidRPr="00BD4D02" w:rsidRDefault="00BD4D02" w:rsidP="00BD4D02">
            <w:pPr>
              <w:rPr>
                <w:sz w:val="20"/>
                <w:szCs w:val="20"/>
              </w:rPr>
            </w:pPr>
          </w:p>
        </w:tc>
        <w:tc>
          <w:tcPr>
            <w:tcW w:w="663" w:type="dxa"/>
            <w:shd w:val="clear" w:color="auto" w:fill="auto"/>
            <w:noWrap/>
            <w:vAlign w:val="bottom"/>
            <w:hideMark/>
          </w:tcPr>
          <w:p w14:paraId="7F9EE424"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0DA32295"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1180" w:type="dxa"/>
            <w:shd w:val="clear" w:color="auto" w:fill="auto"/>
            <w:noWrap/>
            <w:vAlign w:val="bottom"/>
            <w:hideMark/>
          </w:tcPr>
          <w:p w14:paraId="46725804"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4</w:t>
            </w:r>
          </w:p>
        </w:tc>
      </w:tr>
      <w:tr w:rsidR="00BD4D02" w:rsidRPr="00BD4D02" w14:paraId="2B0D15DF" w14:textId="77777777" w:rsidTr="00050580">
        <w:trPr>
          <w:trHeight w:val="144"/>
        </w:trPr>
        <w:tc>
          <w:tcPr>
            <w:tcW w:w="4500" w:type="dxa"/>
            <w:shd w:val="clear" w:color="auto" w:fill="auto"/>
            <w:noWrap/>
            <w:vAlign w:val="bottom"/>
            <w:hideMark/>
          </w:tcPr>
          <w:p w14:paraId="4E22AC91"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Fees - overage</w:t>
            </w:r>
          </w:p>
        </w:tc>
        <w:tc>
          <w:tcPr>
            <w:tcW w:w="770" w:type="dxa"/>
            <w:shd w:val="clear" w:color="auto" w:fill="auto"/>
            <w:noWrap/>
            <w:vAlign w:val="bottom"/>
            <w:hideMark/>
          </w:tcPr>
          <w:p w14:paraId="234321AD"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616FAC02" w14:textId="77777777" w:rsidR="00BD4D02" w:rsidRPr="00BD4D02" w:rsidRDefault="00BD4D02" w:rsidP="00BD4D02">
            <w:pPr>
              <w:rPr>
                <w:sz w:val="20"/>
                <w:szCs w:val="20"/>
              </w:rPr>
            </w:pPr>
          </w:p>
        </w:tc>
        <w:tc>
          <w:tcPr>
            <w:tcW w:w="663" w:type="dxa"/>
            <w:shd w:val="clear" w:color="auto" w:fill="auto"/>
            <w:noWrap/>
            <w:vAlign w:val="bottom"/>
            <w:hideMark/>
          </w:tcPr>
          <w:p w14:paraId="1426B17B" w14:textId="77777777" w:rsidR="00BD4D02" w:rsidRPr="00BD4D02" w:rsidRDefault="00BD4D02" w:rsidP="00BD4D02">
            <w:pPr>
              <w:rPr>
                <w:sz w:val="20"/>
                <w:szCs w:val="20"/>
              </w:rPr>
            </w:pPr>
          </w:p>
        </w:tc>
        <w:tc>
          <w:tcPr>
            <w:tcW w:w="663" w:type="dxa"/>
            <w:shd w:val="clear" w:color="auto" w:fill="auto"/>
            <w:noWrap/>
            <w:vAlign w:val="bottom"/>
            <w:hideMark/>
          </w:tcPr>
          <w:p w14:paraId="2B736C9D" w14:textId="77777777" w:rsidR="00BD4D02" w:rsidRPr="00BD4D02" w:rsidRDefault="00BD4D02" w:rsidP="00BD4D02">
            <w:pPr>
              <w:rPr>
                <w:sz w:val="20"/>
                <w:szCs w:val="20"/>
              </w:rPr>
            </w:pPr>
          </w:p>
        </w:tc>
        <w:tc>
          <w:tcPr>
            <w:tcW w:w="663" w:type="dxa"/>
            <w:shd w:val="clear" w:color="auto" w:fill="auto"/>
            <w:noWrap/>
            <w:vAlign w:val="bottom"/>
            <w:hideMark/>
          </w:tcPr>
          <w:p w14:paraId="061A8DF8" w14:textId="77777777" w:rsidR="00BD4D02" w:rsidRPr="00BD4D02" w:rsidRDefault="00BD4D02" w:rsidP="00BD4D02">
            <w:pPr>
              <w:rPr>
                <w:sz w:val="20"/>
                <w:szCs w:val="20"/>
              </w:rPr>
            </w:pPr>
          </w:p>
        </w:tc>
        <w:tc>
          <w:tcPr>
            <w:tcW w:w="663" w:type="dxa"/>
            <w:shd w:val="clear" w:color="auto" w:fill="auto"/>
            <w:noWrap/>
            <w:vAlign w:val="bottom"/>
            <w:hideMark/>
          </w:tcPr>
          <w:p w14:paraId="43C508C8" w14:textId="77777777" w:rsidR="00BD4D02" w:rsidRPr="00BD4D02" w:rsidRDefault="00BD4D02" w:rsidP="00BD4D02">
            <w:pPr>
              <w:rPr>
                <w:sz w:val="20"/>
                <w:szCs w:val="20"/>
              </w:rPr>
            </w:pPr>
          </w:p>
        </w:tc>
        <w:tc>
          <w:tcPr>
            <w:tcW w:w="663" w:type="dxa"/>
            <w:shd w:val="clear" w:color="auto" w:fill="auto"/>
            <w:noWrap/>
            <w:vAlign w:val="bottom"/>
            <w:hideMark/>
          </w:tcPr>
          <w:p w14:paraId="78EEC881" w14:textId="77777777" w:rsidR="00BD4D02" w:rsidRPr="00BD4D02" w:rsidRDefault="00BD4D02" w:rsidP="00BD4D02">
            <w:pPr>
              <w:rPr>
                <w:sz w:val="20"/>
                <w:szCs w:val="20"/>
              </w:rPr>
            </w:pPr>
          </w:p>
        </w:tc>
        <w:tc>
          <w:tcPr>
            <w:tcW w:w="663" w:type="dxa"/>
            <w:shd w:val="clear" w:color="auto" w:fill="auto"/>
            <w:noWrap/>
            <w:vAlign w:val="bottom"/>
            <w:hideMark/>
          </w:tcPr>
          <w:p w14:paraId="7B8EF39F" w14:textId="77777777" w:rsidR="00BD4D02" w:rsidRPr="00BD4D02" w:rsidRDefault="00BD4D02" w:rsidP="00BD4D02">
            <w:pPr>
              <w:rPr>
                <w:sz w:val="20"/>
                <w:szCs w:val="20"/>
              </w:rPr>
            </w:pPr>
          </w:p>
        </w:tc>
        <w:tc>
          <w:tcPr>
            <w:tcW w:w="663" w:type="dxa"/>
            <w:shd w:val="clear" w:color="auto" w:fill="auto"/>
            <w:noWrap/>
            <w:vAlign w:val="bottom"/>
            <w:hideMark/>
          </w:tcPr>
          <w:p w14:paraId="36251738" w14:textId="77777777" w:rsidR="00BD4D02" w:rsidRPr="00BD4D02" w:rsidRDefault="00BD4D02" w:rsidP="00BD4D02">
            <w:pPr>
              <w:rPr>
                <w:sz w:val="20"/>
                <w:szCs w:val="20"/>
              </w:rPr>
            </w:pPr>
          </w:p>
        </w:tc>
        <w:tc>
          <w:tcPr>
            <w:tcW w:w="663" w:type="dxa"/>
            <w:shd w:val="clear" w:color="auto" w:fill="auto"/>
            <w:noWrap/>
            <w:vAlign w:val="bottom"/>
            <w:hideMark/>
          </w:tcPr>
          <w:p w14:paraId="47F88DF2" w14:textId="77777777" w:rsidR="00BD4D02" w:rsidRPr="00BD4D02" w:rsidRDefault="00BD4D02" w:rsidP="00BD4D02">
            <w:pPr>
              <w:rPr>
                <w:sz w:val="20"/>
                <w:szCs w:val="20"/>
              </w:rPr>
            </w:pPr>
          </w:p>
        </w:tc>
        <w:tc>
          <w:tcPr>
            <w:tcW w:w="663" w:type="dxa"/>
            <w:shd w:val="clear" w:color="auto" w:fill="auto"/>
            <w:noWrap/>
            <w:vAlign w:val="bottom"/>
            <w:hideMark/>
          </w:tcPr>
          <w:p w14:paraId="256A4526"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78EB7A2C" w14:textId="77777777" w:rsidR="00BD4D02" w:rsidRPr="00BD4D02" w:rsidRDefault="00BD4D02" w:rsidP="00BD4D02">
            <w:pPr>
              <w:jc w:val="right"/>
              <w:rPr>
                <w:rFonts w:ascii="Calibri" w:hAnsi="Calibri" w:cs="Calibri"/>
                <w:color w:val="000000"/>
                <w:sz w:val="20"/>
                <w:szCs w:val="20"/>
              </w:rPr>
            </w:pPr>
          </w:p>
        </w:tc>
        <w:tc>
          <w:tcPr>
            <w:tcW w:w="1180" w:type="dxa"/>
            <w:shd w:val="clear" w:color="auto" w:fill="auto"/>
            <w:noWrap/>
            <w:vAlign w:val="bottom"/>
            <w:hideMark/>
          </w:tcPr>
          <w:p w14:paraId="7CBAF31A"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r>
      <w:tr w:rsidR="00BD4D02" w:rsidRPr="00BD4D02" w14:paraId="6A616CD8" w14:textId="77777777" w:rsidTr="00050580">
        <w:trPr>
          <w:trHeight w:val="144"/>
        </w:trPr>
        <w:tc>
          <w:tcPr>
            <w:tcW w:w="4500" w:type="dxa"/>
            <w:shd w:val="clear" w:color="auto" w:fill="auto"/>
            <w:noWrap/>
            <w:vAlign w:val="bottom"/>
            <w:hideMark/>
          </w:tcPr>
          <w:p w14:paraId="300CD55E"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Revenue</w:t>
            </w:r>
          </w:p>
        </w:tc>
        <w:tc>
          <w:tcPr>
            <w:tcW w:w="770" w:type="dxa"/>
            <w:shd w:val="clear" w:color="auto" w:fill="auto"/>
            <w:noWrap/>
            <w:vAlign w:val="bottom"/>
            <w:hideMark/>
          </w:tcPr>
          <w:p w14:paraId="77624A5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46</w:t>
            </w:r>
          </w:p>
        </w:tc>
        <w:tc>
          <w:tcPr>
            <w:tcW w:w="663" w:type="dxa"/>
            <w:shd w:val="clear" w:color="auto" w:fill="auto"/>
            <w:noWrap/>
            <w:vAlign w:val="bottom"/>
            <w:hideMark/>
          </w:tcPr>
          <w:p w14:paraId="10C9F718"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39</w:t>
            </w:r>
          </w:p>
        </w:tc>
        <w:tc>
          <w:tcPr>
            <w:tcW w:w="663" w:type="dxa"/>
            <w:shd w:val="clear" w:color="auto" w:fill="auto"/>
            <w:noWrap/>
            <w:vAlign w:val="bottom"/>
            <w:hideMark/>
          </w:tcPr>
          <w:p w14:paraId="2F191C53"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53</w:t>
            </w:r>
          </w:p>
        </w:tc>
        <w:tc>
          <w:tcPr>
            <w:tcW w:w="663" w:type="dxa"/>
            <w:shd w:val="clear" w:color="auto" w:fill="auto"/>
            <w:noWrap/>
            <w:vAlign w:val="bottom"/>
            <w:hideMark/>
          </w:tcPr>
          <w:p w14:paraId="7160765D"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58</w:t>
            </w:r>
          </w:p>
        </w:tc>
        <w:tc>
          <w:tcPr>
            <w:tcW w:w="663" w:type="dxa"/>
            <w:shd w:val="clear" w:color="auto" w:fill="auto"/>
            <w:noWrap/>
            <w:vAlign w:val="bottom"/>
            <w:hideMark/>
          </w:tcPr>
          <w:p w14:paraId="1CA9C24D"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56</w:t>
            </w:r>
          </w:p>
        </w:tc>
        <w:tc>
          <w:tcPr>
            <w:tcW w:w="663" w:type="dxa"/>
            <w:shd w:val="clear" w:color="auto" w:fill="auto"/>
            <w:noWrap/>
            <w:vAlign w:val="bottom"/>
            <w:hideMark/>
          </w:tcPr>
          <w:p w14:paraId="378FC8D5"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52</w:t>
            </w:r>
          </w:p>
        </w:tc>
        <w:tc>
          <w:tcPr>
            <w:tcW w:w="663" w:type="dxa"/>
            <w:shd w:val="clear" w:color="auto" w:fill="auto"/>
            <w:noWrap/>
            <w:vAlign w:val="bottom"/>
            <w:hideMark/>
          </w:tcPr>
          <w:p w14:paraId="22186A73"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78</w:t>
            </w:r>
          </w:p>
        </w:tc>
        <w:tc>
          <w:tcPr>
            <w:tcW w:w="663" w:type="dxa"/>
            <w:shd w:val="clear" w:color="auto" w:fill="auto"/>
            <w:noWrap/>
            <w:vAlign w:val="bottom"/>
            <w:hideMark/>
          </w:tcPr>
          <w:p w14:paraId="1DB873CE"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71</w:t>
            </w:r>
          </w:p>
        </w:tc>
        <w:tc>
          <w:tcPr>
            <w:tcW w:w="663" w:type="dxa"/>
            <w:shd w:val="clear" w:color="auto" w:fill="auto"/>
            <w:noWrap/>
            <w:vAlign w:val="bottom"/>
            <w:hideMark/>
          </w:tcPr>
          <w:p w14:paraId="483F57E3"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72</w:t>
            </w:r>
          </w:p>
        </w:tc>
        <w:tc>
          <w:tcPr>
            <w:tcW w:w="663" w:type="dxa"/>
            <w:shd w:val="clear" w:color="auto" w:fill="auto"/>
            <w:noWrap/>
            <w:vAlign w:val="bottom"/>
            <w:hideMark/>
          </w:tcPr>
          <w:p w14:paraId="411B863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76</w:t>
            </w:r>
          </w:p>
        </w:tc>
        <w:tc>
          <w:tcPr>
            <w:tcW w:w="663" w:type="dxa"/>
            <w:shd w:val="clear" w:color="auto" w:fill="auto"/>
            <w:noWrap/>
            <w:vAlign w:val="bottom"/>
            <w:hideMark/>
          </w:tcPr>
          <w:p w14:paraId="57F7E0C3"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19</w:t>
            </w:r>
          </w:p>
        </w:tc>
        <w:tc>
          <w:tcPr>
            <w:tcW w:w="663" w:type="dxa"/>
            <w:shd w:val="clear" w:color="auto" w:fill="auto"/>
            <w:noWrap/>
            <w:vAlign w:val="bottom"/>
            <w:hideMark/>
          </w:tcPr>
          <w:p w14:paraId="5B76864F"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34</w:t>
            </w:r>
          </w:p>
        </w:tc>
        <w:tc>
          <w:tcPr>
            <w:tcW w:w="1180" w:type="dxa"/>
            <w:shd w:val="clear" w:color="auto" w:fill="auto"/>
            <w:noWrap/>
            <w:vAlign w:val="bottom"/>
            <w:hideMark/>
          </w:tcPr>
          <w:p w14:paraId="6D0B6CFF"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654</w:t>
            </w:r>
          </w:p>
        </w:tc>
      </w:tr>
      <w:tr w:rsidR="00BD4D02" w:rsidRPr="00BD4D02" w14:paraId="2FA946A4" w14:textId="77777777" w:rsidTr="00050580">
        <w:trPr>
          <w:trHeight w:val="144"/>
        </w:trPr>
        <w:tc>
          <w:tcPr>
            <w:tcW w:w="4500" w:type="dxa"/>
            <w:shd w:val="clear" w:color="auto" w:fill="auto"/>
            <w:noWrap/>
            <w:vAlign w:val="bottom"/>
            <w:hideMark/>
          </w:tcPr>
          <w:p w14:paraId="36997E33"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Telecommunications</w:t>
            </w:r>
          </w:p>
        </w:tc>
        <w:tc>
          <w:tcPr>
            <w:tcW w:w="770" w:type="dxa"/>
            <w:shd w:val="clear" w:color="auto" w:fill="auto"/>
            <w:noWrap/>
            <w:vAlign w:val="bottom"/>
            <w:hideMark/>
          </w:tcPr>
          <w:p w14:paraId="398B3B4D"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2D6ECB78" w14:textId="77777777" w:rsidR="00BD4D02" w:rsidRPr="00BD4D02" w:rsidRDefault="00BD4D02" w:rsidP="00BD4D02">
            <w:pPr>
              <w:rPr>
                <w:sz w:val="20"/>
                <w:szCs w:val="20"/>
              </w:rPr>
            </w:pPr>
          </w:p>
        </w:tc>
        <w:tc>
          <w:tcPr>
            <w:tcW w:w="663" w:type="dxa"/>
            <w:shd w:val="clear" w:color="auto" w:fill="auto"/>
            <w:noWrap/>
            <w:vAlign w:val="bottom"/>
            <w:hideMark/>
          </w:tcPr>
          <w:p w14:paraId="0E8093E9" w14:textId="77777777" w:rsidR="00BD4D02" w:rsidRPr="00BD4D02" w:rsidRDefault="00BD4D02" w:rsidP="00BD4D02">
            <w:pPr>
              <w:rPr>
                <w:sz w:val="20"/>
                <w:szCs w:val="20"/>
              </w:rPr>
            </w:pPr>
          </w:p>
        </w:tc>
        <w:tc>
          <w:tcPr>
            <w:tcW w:w="663" w:type="dxa"/>
            <w:shd w:val="clear" w:color="auto" w:fill="auto"/>
            <w:noWrap/>
            <w:vAlign w:val="bottom"/>
            <w:hideMark/>
          </w:tcPr>
          <w:p w14:paraId="75B718E6" w14:textId="77777777" w:rsidR="00BD4D02" w:rsidRPr="00BD4D02" w:rsidRDefault="00BD4D02" w:rsidP="00BD4D02">
            <w:pPr>
              <w:rPr>
                <w:sz w:val="20"/>
                <w:szCs w:val="20"/>
              </w:rPr>
            </w:pPr>
          </w:p>
        </w:tc>
        <w:tc>
          <w:tcPr>
            <w:tcW w:w="663" w:type="dxa"/>
            <w:shd w:val="clear" w:color="auto" w:fill="auto"/>
            <w:noWrap/>
            <w:vAlign w:val="bottom"/>
            <w:hideMark/>
          </w:tcPr>
          <w:p w14:paraId="0C4325CC" w14:textId="77777777" w:rsidR="00BD4D02" w:rsidRPr="00BD4D02" w:rsidRDefault="00BD4D02" w:rsidP="00BD4D02">
            <w:pPr>
              <w:rPr>
                <w:sz w:val="20"/>
                <w:szCs w:val="20"/>
              </w:rPr>
            </w:pPr>
          </w:p>
        </w:tc>
        <w:tc>
          <w:tcPr>
            <w:tcW w:w="663" w:type="dxa"/>
            <w:shd w:val="clear" w:color="auto" w:fill="auto"/>
            <w:noWrap/>
            <w:vAlign w:val="bottom"/>
            <w:hideMark/>
          </w:tcPr>
          <w:p w14:paraId="070DA881" w14:textId="77777777" w:rsidR="00BD4D02" w:rsidRPr="00BD4D02" w:rsidRDefault="00BD4D02" w:rsidP="00BD4D02">
            <w:pPr>
              <w:rPr>
                <w:sz w:val="20"/>
                <w:szCs w:val="20"/>
              </w:rPr>
            </w:pPr>
          </w:p>
        </w:tc>
        <w:tc>
          <w:tcPr>
            <w:tcW w:w="663" w:type="dxa"/>
            <w:shd w:val="clear" w:color="auto" w:fill="auto"/>
            <w:noWrap/>
            <w:vAlign w:val="bottom"/>
            <w:hideMark/>
          </w:tcPr>
          <w:p w14:paraId="3206027A" w14:textId="77777777" w:rsidR="00BD4D02" w:rsidRPr="00BD4D02" w:rsidRDefault="00BD4D02" w:rsidP="00BD4D02">
            <w:pPr>
              <w:rPr>
                <w:sz w:val="20"/>
                <w:szCs w:val="20"/>
              </w:rPr>
            </w:pPr>
          </w:p>
        </w:tc>
        <w:tc>
          <w:tcPr>
            <w:tcW w:w="663" w:type="dxa"/>
            <w:shd w:val="clear" w:color="auto" w:fill="auto"/>
            <w:noWrap/>
            <w:vAlign w:val="bottom"/>
            <w:hideMark/>
          </w:tcPr>
          <w:p w14:paraId="2B99E334" w14:textId="77777777" w:rsidR="00BD4D02" w:rsidRPr="00BD4D02" w:rsidRDefault="00BD4D02" w:rsidP="00BD4D02">
            <w:pPr>
              <w:rPr>
                <w:sz w:val="20"/>
                <w:szCs w:val="20"/>
              </w:rPr>
            </w:pPr>
          </w:p>
        </w:tc>
        <w:tc>
          <w:tcPr>
            <w:tcW w:w="663" w:type="dxa"/>
            <w:shd w:val="clear" w:color="auto" w:fill="auto"/>
            <w:noWrap/>
            <w:vAlign w:val="bottom"/>
            <w:hideMark/>
          </w:tcPr>
          <w:p w14:paraId="49AE1669" w14:textId="77777777" w:rsidR="00BD4D02" w:rsidRPr="00BD4D02" w:rsidRDefault="00BD4D02" w:rsidP="00BD4D02">
            <w:pPr>
              <w:rPr>
                <w:sz w:val="20"/>
                <w:szCs w:val="20"/>
              </w:rPr>
            </w:pPr>
          </w:p>
        </w:tc>
        <w:tc>
          <w:tcPr>
            <w:tcW w:w="663" w:type="dxa"/>
            <w:shd w:val="clear" w:color="auto" w:fill="auto"/>
            <w:noWrap/>
            <w:vAlign w:val="bottom"/>
            <w:hideMark/>
          </w:tcPr>
          <w:p w14:paraId="369E8FCA" w14:textId="77777777" w:rsidR="00BD4D02" w:rsidRPr="00BD4D02" w:rsidRDefault="00BD4D02" w:rsidP="00BD4D02">
            <w:pPr>
              <w:rPr>
                <w:sz w:val="20"/>
                <w:szCs w:val="20"/>
              </w:rPr>
            </w:pPr>
          </w:p>
        </w:tc>
        <w:tc>
          <w:tcPr>
            <w:tcW w:w="663" w:type="dxa"/>
            <w:shd w:val="clear" w:color="auto" w:fill="auto"/>
            <w:noWrap/>
            <w:vAlign w:val="bottom"/>
            <w:hideMark/>
          </w:tcPr>
          <w:p w14:paraId="7BFF0375" w14:textId="77777777" w:rsidR="00BD4D02" w:rsidRPr="00BD4D02" w:rsidRDefault="00BD4D02" w:rsidP="00BD4D02">
            <w:pPr>
              <w:rPr>
                <w:sz w:val="20"/>
                <w:szCs w:val="20"/>
              </w:rPr>
            </w:pPr>
          </w:p>
        </w:tc>
        <w:tc>
          <w:tcPr>
            <w:tcW w:w="663" w:type="dxa"/>
            <w:shd w:val="clear" w:color="auto" w:fill="auto"/>
            <w:noWrap/>
            <w:vAlign w:val="bottom"/>
            <w:hideMark/>
          </w:tcPr>
          <w:p w14:paraId="01349FDC"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1180" w:type="dxa"/>
            <w:shd w:val="clear" w:color="auto" w:fill="auto"/>
            <w:noWrap/>
            <w:vAlign w:val="bottom"/>
            <w:hideMark/>
          </w:tcPr>
          <w:p w14:paraId="5AE5743E"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7DAB85EC" w14:textId="77777777" w:rsidTr="00050580">
        <w:trPr>
          <w:trHeight w:val="144"/>
        </w:trPr>
        <w:tc>
          <w:tcPr>
            <w:tcW w:w="4500" w:type="dxa"/>
            <w:shd w:val="clear" w:color="auto" w:fill="auto"/>
            <w:noWrap/>
            <w:vAlign w:val="bottom"/>
            <w:hideMark/>
          </w:tcPr>
          <w:p w14:paraId="0C07D7E6"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Telephony</w:t>
            </w:r>
          </w:p>
        </w:tc>
        <w:tc>
          <w:tcPr>
            <w:tcW w:w="770" w:type="dxa"/>
            <w:shd w:val="clear" w:color="auto" w:fill="auto"/>
            <w:noWrap/>
            <w:vAlign w:val="bottom"/>
            <w:hideMark/>
          </w:tcPr>
          <w:p w14:paraId="23F24FA0"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21E56207" w14:textId="77777777" w:rsidR="00BD4D02" w:rsidRPr="00BD4D02" w:rsidRDefault="00BD4D02" w:rsidP="00BD4D02">
            <w:pPr>
              <w:rPr>
                <w:sz w:val="20"/>
                <w:szCs w:val="20"/>
              </w:rPr>
            </w:pPr>
          </w:p>
        </w:tc>
        <w:tc>
          <w:tcPr>
            <w:tcW w:w="663" w:type="dxa"/>
            <w:shd w:val="clear" w:color="auto" w:fill="auto"/>
            <w:noWrap/>
            <w:vAlign w:val="bottom"/>
            <w:hideMark/>
          </w:tcPr>
          <w:p w14:paraId="77EE6328" w14:textId="77777777" w:rsidR="00BD4D02" w:rsidRPr="00BD4D02" w:rsidRDefault="00BD4D02" w:rsidP="00BD4D02">
            <w:pPr>
              <w:rPr>
                <w:sz w:val="20"/>
                <w:szCs w:val="20"/>
              </w:rPr>
            </w:pPr>
          </w:p>
        </w:tc>
        <w:tc>
          <w:tcPr>
            <w:tcW w:w="663" w:type="dxa"/>
            <w:shd w:val="clear" w:color="auto" w:fill="auto"/>
            <w:noWrap/>
            <w:vAlign w:val="bottom"/>
            <w:hideMark/>
          </w:tcPr>
          <w:p w14:paraId="0F5EF3B7" w14:textId="77777777" w:rsidR="00BD4D02" w:rsidRPr="00BD4D02" w:rsidRDefault="00BD4D02" w:rsidP="00BD4D02">
            <w:pPr>
              <w:rPr>
                <w:sz w:val="20"/>
                <w:szCs w:val="20"/>
              </w:rPr>
            </w:pPr>
          </w:p>
        </w:tc>
        <w:tc>
          <w:tcPr>
            <w:tcW w:w="663" w:type="dxa"/>
            <w:shd w:val="clear" w:color="auto" w:fill="auto"/>
            <w:noWrap/>
            <w:vAlign w:val="bottom"/>
            <w:hideMark/>
          </w:tcPr>
          <w:p w14:paraId="48B86276" w14:textId="77777777" w:rsidR="00BD4D02" w:rsidRPr="00BD4D02" w:rsidRDefault="00BD4D02" w:rsidP="00BD4D02">
            <w:pPr>
              <w:rPr>
                <w:sz w:val="20"/>
                <w:szCs w:val="20"/>
              </w:rPr>
            </w:pPr>
          </w:p>
        </w:tc>
        <w:tc>
          <w:tcPr>
            <w:tcW w:w="663" w:type="dxa"/>
            <w:shd w:val="clear" w:color="auto" w:fill="auto"/>
            <w:noWrap/>
            <w:vAlign w:val="bottom"/>
            <w:hideMark/>
          </w:tcPr>
          <w:p w14:paraId="64A61E6F" w14:textId="77777777" w:rsidR="00BD4D02" w:rsidRPr="00BD4D02" w:rsidRDefault="00BD4D02" w:rsidP="00BD4D02">
            <w:pPr>
              <w:rPr>
                <w:sz w:val="20"/>
                <w:szCs w:val="20"/>
              </w:rPr>
            </w:pPr>
          </w:p>
        </w:tc>
        <w:tc>
          <w:tcPr>
            <w:tcW w:w="663" w:type="dxa"/>
            <w:shd w:val="clear" w:color="auto" w:fill="auto"/>
            <w:noWrap/>
            <w:vAlign w:val="bottom"/>
            <w:hideMark/>
          </w:tcPr>
          <w:p w14:paraId="53EA72CC" w14:textId="77777777" w:rsidR="00BD4D02" w:rsidRPr="00BD4D02" w:rsidRDefault="00BD4D02" w:rsidP="00BD4D02">
            <w:pPr>
              <w:rPr>
                <w:sz w:val="20"/>
                <w:szCs w:val="20"/>
              </w:rPr>
            </w:pPr>
          </w:p>
        </w:tc>
        <w:tc>
          <w:tcPr>
            <w:tcW w:w="663" w:type="dxa"/>
            <w:shd w:val="clear" w:color="auto" w:fill="auto"/>
            <w:noWrap/>
            <w:vAlign w:val="bottom"/>
            <w:hideMark/>
          </w:tcPr>
          <w:p w14:paraId="6442DA38" w14:textId="77777777" w:rsidR="00BD4D02" w:rsidRPr="00BD4D02" w:rsidRDefault="00BD4D02" w:rsidP="00BD4D02">
            <w:pPr>
              <w:rPr>
                <w:sz w:val="20"/>
                <w:szCs w:val="20"/>
              </w:rPr>
            </w:pPr>
          </w:p>
        </w:tc>
        <w:tc>
          <w:tcPr>
            <w:tcW w:w="663" w:type="dxa"/>
            <w:shd w:val="clear" w:color="auto" w:fill="auto"/>
            <w:noWrap/>
            <w:vAlign w:val="bottom"/>
            <w:hideMark/>
          </w:tcPr>
          <w:p w14:paraId="73BA7593" w14:textId="77777777" w:rsidR="00BD4D02" w:rsidRPr="00BD4D02" w:rsidRDefault="00BD4D02" w:rsidP="00BD4D02">
            <w:pPr>
              <w:rPr>
                <w:sz w:val="20"/>
                <w:szCs w:val="20"/>
              </w:rPr>
            </w:pPr>
          </w:p>
        </w:tc>
        <w:tc>
          <w:tcPr>
            <w:tcW w:w="663" w:type="dxa"/>
            <w:shd w:val="clear" w:color="auto" w:fill="auto"/>
            <w:noWrap/>
            <w:vAlign w:val="bottom"/>
            <w:hideMark/>
          </w:tcPr>
          <w:p w14:paraId="533D836F" w14:textId="77777777" w:rsidR="00BD4D02" w:rsidRPr="00BD4D02" w:rsidRDefault="00BD4D02" w:rsidP="00BD4D02">
            <w:pPr>
              <w:rPr>
                <w:sz w:val="20"/>
                <w:szCs w:val="20"/>
              </w:rPr>
            </w:pPr>
          </w:p>
        </w:tc>
        <w:tc>
          <w:tcPr>
            <w:tcW w:w="663" w:type="dxa"/>
            <w:shd w:val="clear" w:color="auto" w:fill="auto"/>
            <w:noWrap/>
            <w:vAlign w:val="bottom"/>
            <w:hideMark/>
          </w:tcPr>
          <w:p w14:paraId="79E81D0D" w14:textId="77777777" w:rsidR="00BD4D02" w:rsidRPr="00BD4D02" w:rsidRDefault="00BD4D02" w:rsidP="00BD4D02">
            <w:pPr>
              <w:rPr>
                <w:sz w:val="20"/>
                <w:szCs w:val="20"/>
              </w:rPr>
            </w:pPr>
          </w:p>
        </w:tc>
        <w:tc>
          <w:tcPr>
            <w:tcW w:w="663" w:type="dxa"/>
            <w:shd w:val="clear" w:color="auto" w:fill="auto"/>
            <w:noWrap/>
            <w:vAlign w:val="bottom"/>
            <w:hideMark/>
          </w:tcPr>
          <w:p w14:paraId="58AF72DC"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1180" w:type="dxa"/>
            <w:shd w:val="clear" w:color="auto" w:fill="auto"/>
            <w:noWrap/>
            <w:vAlign w:val="bottom"/>
            <w:hideMark/>
          </w:tcPr>
          <w:p w14:paraId="5DD6349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r>
      <w:tr w:rsidR="00BD4D02" w:rsidRPr="00BD4D02" w14:paraId="27C38D73" w14:textId="77777777" w:rsidTr="00050580">
        <w:trPr>
          <w:trHeight w:val="144"/>
        </w:trPr>
        <w:tc>
          <w:tcPr>
            <w:tcW w:w="4500" w:type="dxa"/>
            <w:shd w:val="clear" w:color="auto" w:fill="auto"/>
            <w:noWrap/>
            <w:vAlign w:val="bottom"/>
            <w:hideMark/>
          </w:tcPr>
          <w:p w14:paraId="383DBA7A" w14:textId="77777777" w:rsidR="00BD4D02" w:rsidRPr="00BD4D02" w:rsidRDefault="00BD4D02" w:rsidP="00BD4D02">
            <w:pPr>
              <w:ind w:firstLineChars="100" w:firstLine="201"/>
              <w:rPr>
                <w:rFonts w:ascii="Calibri" w:hAnsi="Calibri" w:cs="Calibri"/>
                <w:b/>
                <w:bCs/>
                <w:color w:val="000000"/>
                <w:sz w:val="20"/>
                <w:szCs w:val="20"/>
              </w:rPr>
            </w:pPr>
            <w:r w:rsidRPr="00BD4D02">
              <w:rPr>
                <w:rFonts w:ascii="Calibri" w:hAnsi="Calibri" w:cs="Calibri"/>
                <w:b/>
                <w:bCs/>
                <w:color w:val="000000"/>
                <w:sz w:val="20"/>
                <w:szCs w:val="20"/>
              </w:rPr>
              <w:t>Dissatisfaction</w:t>
            </w:r>
          </w:p>
        </w:tc>
        <w:tc>
          <w:tcPr>
            <w:tcW w:w="770" w:type="dxa"/>
            <w:shd w:val="clear" w:color="auto" w:fill="auto"/>
            <w:noWrap/>
            <w:vAlign w:val="bottom"/>
            <w:hideMark/>
          </w:tcPr>
          <w:p w14:paraId="3327AB05" w14:textId="77777777" w:rsidR="00BD4D02" w:rsidRPr="00BD4D02" w:rsidRDefault="00BD4D02" w:rsidP="00BD4D02">
            <w:pPr>
              <w:ind w:firstLineChars="100" w:firstLine="201"/>
              <w:rPr>
                <w:rFonts w:ascii="Calibri" w:hAnsi="Calibri" w:cs="Calibri"/>
                <w:b/>
                <w:bCs/>
                <w:color w:val="000000"/>
                <w:sz w:val="20"/>
                <w:szCs w:val="20"/>
              </w:rPr>
            </w:pPr>
          </w:p>
        </w:tc>
        <w:tc>
          <w:tcPr>
            <w:tcW w:w="663" w:type="dxa"/>
            <w:shd w:val="clear" w:color="auto" w:fill="auto"/>
            <w:noWrap/>
            <w:vAlign w:val="bottom"/>
            <w:hideMark/>
          </w:tcPr>
          <w:p w14:paraId="13D8AA59" w14:textId="77777777" w:rsidR="00BD4D02" w:rsidRPr="00BD4D02" w:rsidRDefault="00BD4D02" w:rsidP="00BD4D02">
            <w:pPr>
              <w:rPr>
                <w:sz w:val="20"/>
                <w:szCs w:val="20"/>
              </w:rPr>
            </w:pPr>
          </w:p>
        </w:tc>
        <w:tc>
          <w:tcPr>
            <w:tcW w:w="663" w:type="dxa"/>
            <w:shd w:val="clear" w:color="auto" w:fill="auto"/>
            <w:noWrap/>
            <w:vAlign w:val="bottom"/>
            <w:hideMark/>
          </w:tcPr>
          <w:p w14:paraId="7A0BCF67" w14:textId="77777777" w:rsidR="00BD4D02" w:rsidRPr="00BD4D02" w:rsidRDefault="00BD4D02" w:rsidP="00BD4D02">
            <w:pPr>
              <w:rPr>
                <w:sz w:val="20"/>
                <w:szCs w:val="20"/>
              </w:rPr>
            </w:pPr>
          </w:p>
        </w:tc>
        <w:tc>
          <w:tcPr>
            <w:tcW w:w="663" w:type="dxa"/>
            <w:shd w:val="clear" w:color="auto" w:fill="auto"/>
            <w:noWrap/>
            <w:vAlign w:val="bottom"/>
            <w:hideMark/>
          </w:tcPr>
          <w:p w14:paraId="32208FAA" w14:textId="77777777" w:rsidR="00BD4D02" w:rsidRPr="00BD4D02" w:rsidRDefault="00BD4D02" w:rsidP="00BD4D02">
            <w:pPr>
              <w:rPr>
                <w:sz w:val="20"/>
                <w:szCs w:val="20"/>
              </w:rPr>
            </w:pPr>
          </w:p>
        </w:tc>
        <w:tc>
          <w:tcPr>
            <w:tcW w:w="663" w:type="dxa"/>
            <w:shd w:val="clear" w:color="auto" w:fill="auto"/>
            <w:noWrap/>
            <w:vAlign w:val="bottom"/>
            <w:hideMark/>
          </w:tcPr>
          <w:p w14:paraId="2634404E"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2</w:t>
            </w:r>
          </w:p>
        </w:tc>
        <w:tc>
          <w:tcPr>
            <w:tcW w:w="663" w:type="dxa"/>
            <w:shd w:val="clear" w:color="auto" w:fill="auto"/>
            <w:noWrap/>
            <w:vAlign w:val="bottom"/>
            <w:hideMark/>
          </w:tcPr>
          <w:p w14:paraId="3D93B81E"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2</w:t>
            </w:r>
          </w:p>
        </w:tc>
        <w:tc>
          <w:tcPr>
            <w:tcW w:w="663" w:type="dxa"/>
            <w:shd w:val="clear" w:color="auto" w:fill="auto"/>
            <w:noWrap/>
            <w:vAlign w:val="bottom"/>
            <w:hideMark/>
          </w:tcPr>
          <w:p w14:paraId="670B312F"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2</w:t>
            </w:r>
          </w:p>
        </w:tc>
        <w:tc>
          <w:tcPr>
            <w:tcW w:w="663" w:type="dxa"/>
            <w:shd w:val="clear" w:color="auto" w:fill="auto"/>
            <w:noWrap/>
            <w:vAlign w:val="bottom"/>
            <w:hideMark/>
          </w:tcPr>
          <w:p w14:paraId="336AD38F"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2</w:t>
            </w:r>
          </w:p>
        </w:tc>
        <w:tc>
          <w:tcPr>
            <w:tcW w:w="663" w:type="dxa"/>
            <w:shd w:val="clear" w:color="auto" w:fill="auto"/>
            <w:noWrap/>
            <w:vAlign w:val="bottom"/>
            <w:hideMark/>
          </w:tcPr>
          <w:p w14:paraId="2442D59D"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2</w:t>
            </w:r>
          </w:p>
        </w:tc>
        <w:tc>
          <w:tcPr>
            <w:tcW w:w="663" w:type="dxa"/>
            <w:shd w:val="clear" w:color="auto" w:fill="auto"/>
            <w:noWrap/>
            <w:vAlign w:val="bottom"/>
            <w:hideMark/>
          </w:tcPr>
          <w:p w14:paraId="3309B882"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3</w:t>
            </w:r>
          </w:p>
        </w:tc>
        <w:tc>
          <w:tcPr>
            <w:tcW w:w="663" w:type="dxa"/>
            <w:shd w:val="clear" w:color="auto" w:fill="auto"/>
            <w:noWrap/>
            <w:vAlign w:val="bottom"/>
            <w:hideMark/>
          </w:tcPr>
          <w:p w14:paraId="16F83037"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3</w:t>
            </w:r>
          </w:p>
        </w:tc>
        <w:tc>
          <w:tcPr>
            <w:tcW w:w="663" w:type="dxa"/>
            <w:shd w:val="clear" w:color="auto" w:fill="auto"/>
            <w:noWrap/>
            <w:vAlign w:val="bottom"/>
            <w:hideMark/>
          </w:tcPr>
          <w:p w14:paraId="4A5E716A" w14:textId="77777777" w:rsidR="00BD4D02" w:rsidRPr="00BD4D02" w:rsidRDefault="00BD4D02" w:rsidP="00BD4D02">
            <w:pPr>
              <w:jc w:val="right"/>
              <w:rPr>
                <w:rFonts w:ascii="Calibri" w:hAnsi="Calibri" w:cs="Calibri"/>
                <w:b/>
                <w:bCs/>
                <w:color w:val="000000"/>
                <w:sz w:val="20"/>
                <w:szCs w:val="20"/>
              </w:rPr>
            </w:pPr>
          </w:p>
        </w:tc>
        <w:tc>
          <w:tcPr>
            <w:tcW w:w="1180" w:type="dxa"/>
            <w:shd w:val="clear" w:color="auto" w:fill="auto"/>
            <w:noWrap/>
            <w:vAlign w:val="bottom"/>
            <w:hideMark/>
          </w:tcPr>
          <w:p w14:paraId="2431DBA2"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16</w:t>
            </w:r>
          </w:p>
        </w:tc>
      </w:tr>
      <w:tr w:rsidR="00BD4D02" w:rsidRPr="00BD4D02" w14:paraId="021BAB16" w14:textId="77777777" w:rsidTr="00050580">
        <w:trPr>
          <w:trHeight w:val="144"/>
        </w:trPr>
        <w:tc>
          <w:tcPr>
            <w:tcW w:w="4500" w:type="dxa"/>
            <w:shd w:val="clear" w:color="auto" w:fill="auto"/>
            <w:noWrap/>
            <w:vAlign w:val="bottom"/>
            <w:hideMark/>
          </w:tcPr>
          <w:p w14:paraId="14164614"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Contacts (complaints)</w:t>
            </w:r>
          </w:p>
        </w:tc>
        <w:tc>
          <w:tcPr>
            <w:tcW w:w="770" w:type="dxa"/>
            <w:shd w:val="clear" w:color="auto" w:fill="auto"/>
            <w:noWrap/>
            <w:vAlign w:val="bottom"/>
            <w:hideMark/>
          </w:tcPr>
          <w:p w14:paraId="358B23D0"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35E9C565" w14:textId="77777777" w:rsidR="00BD4D02" w:rsidRPr="00BD4D02" w:rsidRDefault="00BD4D02" w:rsidP="00BD4D02">
            <w:pPr>
              <w:rPr>
                <w:sz w:val="20"/>
                <w:szCs w:val="20"/>
              </w:rPr>
            </w:pPr>
          </w:p>
        </w:tc>
        <w:tc>
          <w:tcPr>
            <w:tcW w:w="663" w:type="dxa"/>
            <w:shd w:val="clear" w:color="auto" w:fill="auto"/>
            <w:noWrap/>
            <w:vAlign w:val="bottom"/>
            <w:hideMark/>
          </w:tcPr>
          <w:p w14:paraId="64467D92" w14:textId="77777777" w:rsidR="00BD4D02" w:rsidRPr="00BD4D02" w:rsidRDefault="00BD4D02" w:rsidP="00BD4D02">
            <w:pPr>
              <w:rPr>
                <w:sz w:val="20"/>
                <w:szCs w:val="20"/>
              </w:rPr>
            </w:pPr>
          </w:p>
        </w:tc>
        <w:tc>
          <w:tcPr>
            <w:tcW w:w="663" w:type="dxa"/>
            <w:shd w:val="clear" w:color="auto" w:fill="auto"/>
            <w:noWrap/>
            <w:vAlign w:val="bottom"/>
            <w:hideMark/>
          </w:tcPr>
          <w:p w14:paraId="7F4C279F" w14:textId="77777777" w:rsidR="00BD4D02" w:rsidRPr="00BD4D02" w:rsidRDefault="00BD4D02" w:rsidP="00BD4D02">
            <w:pPr>
              <w:rPr>
                <w:sz w:val="20"/>
                <w:szCs w:val="20"/>
              </w:rPr>
            </w:pPr>
          </w:p>
        </w:tc>
        <w:tc>
          <w:tcPr>
            <w:tcW w:w="663" w:type="dxa"/>
            <w:shd w:val="clear" w:color="auto" w:fill="auto"/>
            <w:noWrap/>
            <w:vAlign w:val="bottom"/>
            <w:hideMark/>
          </w:tcPr>
          <w:p w14:paraId="2798F9F2"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32B9841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120C6123"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7FF730D6"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491979A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715BE0F0"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w:t>
            </w:r>
          </w:p>
        </w:tc>
        <w:tc>
          <w:tcPr>
            <w:tcW w:w="663" w:type="dxa"/>
            <w:shd w:val="clear" w:color="auto" w:fill="auto"/>
            <w:noWrap/>
            <w:vAlign w:val="bottom"/>
            <w:hideMark/>
          </w:tcPr>
          <w:p w14:paraId="6CD15404"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w:t>
            </w:r>
          </w:p>
        </w:tc>
        <w:tc>
          <w:tcPr>
            <w:tcW w:w="663" w:type="dxa"/>
            <w:shd w:val="clear" w:color="auto" w:fill="auto"/>
            <w:noWrap/>
            <w:vAlign w:val="bottom"/>
            <w:hideMark/>
          </w:tcPr>
          <w:p w14:paraId="35910EF8" w14:textId="77777777" w:rsidR="00BD4D02" w:rsidRPr="00BD4D02" w:rsidRDefault="00BD4D02" w:rsidP="00BD4D02">
            <w:pPr>
              <w:jc w:val="right"/>
              <w:rPr>
                <w:rFonts w:ascii="Calibri" w:hAnsi="Calibri" w:cs="Calibri"/>
                <w:color w:val="000000"/>
                <w:sz w:val="20"/>
                <w:szCs w:val="20"/>
              </w:rPr>
            </w:pPr>
          </w:p>
        </w:tc>
        <w:tc>
          <w:tcPr>
            <w:tcW w:w="1180" w:type="dxa"/>
            <w:shd w:val="clear" w:color="auto" w:fill="auto"/>
            <w:noWrap/>
            <w:vAlign w:val="bottom"/>
            <w:hideMark/>
          </w:tcPr>
          <w:p w14:paraId="18F8212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15</w:t>
            </w:r>
          </w:p>
        </w:tc>
      </w:tr>
      <w:tr w:rsidR="00BD4D02" w:rsidRPr="00BD4D02" w14:paraId="7757EF7C" w14:textId="77777777" w:rsidTr="00050580">
        <w:trPr>
          <w:trHeight w:val="144"/>
        </w:trPr>
        <w:tc>
          <w:tcPr>
            <w:tcW w:w="4500" w:type="dxa"/>
            <w:shd w:val="clear" w:color="auto" w:fill="auto"/>
            <w:noWrap/>
            <w:vAlign w:val="bottom"/>
            <w:hideMark/>
          </w:tcPr>
          <w:p w14:paraId="7A7F1207"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Dispute resolution</w:t>
            </w:r>
          </w:p>
        </w:tc>
        <w:tc>
          <w:tcPr>
            <w:tcW w:w="770" w:type="dxa"/>
            <w:shd w:val="clear" w:color="auto" w:fill="auto"/>
            <w:noWrap/>
            <w:vAlign w:val="bottom"/>
            <w:hideMark/>
          </w:tcPr>
          <w:p w14:paraId="77E388BC"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6F017E51" w14:textId="77777777" w:rsidR="00BD4D02" w:rsidRPr="00BD4D02" w:rsidRDefault="00BD4D02" w:rsidP="00BD4D02">
            <w:pPr>
              <w:rPr>
                <w:sz w:val="20"/>
                <w:szCs w:val="20"/>
              </w:rPr>
            </w:pPr>
          </w:p>
        </w:tc>
        <w:tc>
          <w:tcPr>
            <w:tcW w:w="663" w:type="dxa"/>
            <w:shd w:val="clear" w:color="auto" w:fill="auto"/>
            <w:noWrap/>
            <w:vAlign w:val="bottom"/>
            <w:hideMark/>
          </w:tcPr>
          <w:p w14:paraId="2757EA87" w14:textId="77777777" w:rsidR="00BD4D02" w:rsidRPr="00BD4D02" w:rsidRDefault="00BD4D02" w:rsidP="00BD4D02">
            <w:pPr>
              <w:rPr>
                <w:sz w:val="20"/>
                <w:szCs w:val="20"/>
              </w:rPr>
            </w:pPr>
          </w:p>
        </w:tc>
        <w:tc>
          <w:tcPr>
            <w:tcW w:w="663" w:type="dxa"/>
            <w:shd w:val="clear" w:color="auto" w:fill="auto"/>
            <w:noWrap/>
            <w:vAlign w:val="bottom"/>
            <w:hideMark/>
          </w:tcPr>
          <w:p w14:paraId="72CD15AE" w14:textId="77777777" w:rsidR="00BD4D02" w:rsidRPr="00BD4D02" w:rsidRDefault="00BD4D02" w:rsidP="00BD4D02">
            <w:pPr>
              <w:rPr>
                <w:sz w:val="20"/>
                <w:szCs w:val="20"/>
              </w:rPr>
            </w:pPr>
          </w:p>
        </w:tc>
        <w:tc>
          <w:tcPr>
            <w:tcW w:w="663" w:type="dxa"/>
            <w:shd w:val="clear" w:color="auto" w:fill="auto"/>
            <w:noWrap/>
            <w:vAlign w:val="bottom"/>
            <w:hideMark/>
          </w:tcPr>
          <w:p w14:paraId="40C5AFD8"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7AF7C037"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0D95FA84" w14:textId="77777777" w:rsidR="00BD4D02" w:rsidRPr="00BD4D02" w:rsidRDefault="00BD4D02" w:rsidP="00BD4D02">
            <w:pPr>
              <w:rPr>
                <w:sz w:val="20"/>
                <w:szCs w:val="20"/>
              </w:rPr>
            </w:pPr>
          </w:p>
        </w:tc>
        <w:tc>
          <w:tcPr>
            <w:tcW w:w="663" w:type="dxa"/>
            <w:shd w:val="clear" w:color="auto" w:fill="auto"/>
            <w:noWrap/>
            <w:vAlign w:val="bottom"/>
            <w:hideMark/>
          </w:tcPr>
          <w:p w14:paraId="4DB8493B" w14:textId="77777777" w:rsidR="00BD4D02" w:rsidRPr="00BD4D02" w:rsidRDefault="00BD4D02" w:rsidP="00BD4D02">
            <w:pPr>
              <w:rPr>
                <w:sz w:val="20"/>
                <w:szCs w:val="20"/>
              </w:rPr>
            </w:pPr>
          </w:p>
        </w:tc>
        <w:tc>
          <w:tcPr>
            <w:tcW w:w="663" w:type="dxa"/>
            <w:shd w:val="clear" w:color="auto" w:fill="auto"/>
            <w:noWrap/>
            <w:vAlign w:val="bottom"/>
            <w:hideMark/>
          </w:tcPr>
          <w:p w14:paraId="31DE4DE0" w14:textId="77777777" w:rsidR="00BD4D02" w:rsidRPr="00BD4D02" w:rsidRDefault="00BD4D02" w:rsidP="00BD4D02">
            <w:pPr>
              <w:rPr>
                <w:sz w:val="20"/>
                <w:szCs w:val="20"/>
              </w:rPr>
            </w:pPr>
          </w:p>
        </w:tc>
        <w:tc>
          <w:tcPr>
            <w:tcW w:w="663" w:type="dxa"/>
            <w:shd w:val="clear" w:color="auto" w:fill="auto"/>
            <w:noWrap/>
            <w:vAlign w:val="bottom"/>
            <w:hideMark/>
          </w:tcPr>
          <w:p w14:paraId="385E645D" w14:textId="77777777" w:rsidR="00BD4D02" w:rsidRPr="00BD4D02" w:rsidRDefault="00BD4D02" w:rsidP="00BD4D02">
            <w:pPr>
              <w:rPr>
                <w:sz w:val="20"/>
                <w:szCs w:val="20"/>
              </w:rPr>
            </w:pPr>
          </w:p>
        </w:tc>
        <w:tc>
          <w:tcPr>
            <w:tcW w:w="663" w:type="dxa"/>
            <w:shd w:val="clear" w:color="auto" w:fill="auto"/>
            <w:noWrap/>
            <w:vAlign w:val="bottom"/>
            <w:hideMark/>
          </w:tcPr>
          <w:p w14:paraId="183D2365" w14:textId="77777777" w:rsidR="00BD4D02" w:rsidRPr="00BD4D02" w:rsidRDefault="00BD4D02" w:rsidP="00BD4D02">
            <w:pPr>
              <w:rPr>
                <w:sz w:val="20"/>
                <w:szCs w:val="20"/>
              </w:rPr>
            </w:pPr>
          </w:p>
        </w:tc>
        <w:tc>
          <w:tcPr>
            <w:tcW w:w="663" w:type="dxa"/>
            <w:shd w:val="clear" w:color="auto" w:fill="auto"/>
            <w:noWrap/>
            <w:vAlign w:val="bottom"/>
            <w:hideMark/>
          </w:tcPr>
          <w:p w14:paraId="7C83AAD6" w14:textId="77777777" w:rsidR="00BD4D02" w:rsidRPr="00BD4D02" w:rsidRDefault="00BD4D02" w:rsidP="00BD4D02">
            <w:pPr>
              <w:rPr>
                <w:sz w:val="20"/>
                <w:szCs w:val="20"/>
              </w:rPr>
            </w:pPr>
          </w:p>
        </w:tc>
        <w:tc>
          <w:tcPr>
            <w:tcW w:w="1180" w:type="dxa"/>
            <w:shd w:val="clear" w:color="auto" w:fill="auto"/>
            <w:noWrap/>
            <w:vAlign w:val="bottom"/>
            <w:hideMark/>
          </w:tcPr>
          <w:p w14:paraId="623DC914"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029476F3" w14:textId="77777777" w:rsidTr="00050580">
        <w:trPr>
          <w:trHeight w:val="144"/>
        </w:trPr>
        <w:tc>
          <w:tcPr>
            <w:tcW w:w="4500" w:type="dxa"/>
            <w:shd w:val="clear" w:color="auto" w:fill="auto"/>
            <w:noWrap/>
            <w:vAlign w:val="bottom"/>
            <w:hideMark/>
          </w:tcPr>
          <w:p w14:paraId="038B657B" w14:textId="77777777" w:rsidR="00BD4D02" w:rsidRPr="00BD4D02" w:rsidRDefault="00BD4D02" w:rsidP="00BD4D02">
            <w:pPr>
              <w:ind w:firstLineChars="100" w:firstLine="201"/>
              <w:rPr>
                <w:rFonts w:ascii="Calibri" w:hAnsi="Calibri" w:cs="Calibri"/>
                <w:b/>
                <w:bCs/>
                <w:color w:val="000000"/>
                <w:sz w:val="20"/>
                <w:szCs w:val="20"/>
              </w:rPr>
            </w:pPr>
            <w:r w:rsidRPr="00BD4D02">
              <w:rPr>
                <w:rFonts w:ascii="Calibri" w:hAnsi="Calibri" w:cs="Calibri"/>
                <w:b/>
                <w:bCs/>
                <w:color w:val="000000"/>
                <w:sz w:val="20"/>
                <w:szCs w:val="20"/>
              </w:rPr>
              <w:lastRenderedPageBreak/>
              <w:t>Technology - availability</w:t>
            </w:r>
          </w:p>
        </w:tc>
        <w:tc>
          <w:tcPr>
            <w:tcW w:w="770" w:type="dxa"/>
            <w:shd w:val="clear" w:color="auto" w:fill="auto"/>
            <w:noWrap/>
            <w:vAlign w:val="bottom"/>
            <w:hideMark/>
          </w:tcPr>
          <w:p w14:paraId="15C0D5DC"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9</w:t>
            </w:r>
          </w:p>
        </w:tc>
        <w:tc>
          <w:tcPr>
            <w:tcW w:w="663" w:type="dxa"/>
            <w:shd w:val="clear" w:color="auto" w:fill="auto"/>
            <w:noWrap/>
            <w:vAlign w:val="bottom"/>
            <w:hideMark/>
          </w:tcPr>
          <w:p w14:paraId="21D918EA"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7</w:t>
            </w:r>
          </w:p>
        </w:tc>
        <w:tc>
          <w:tcPr>
            <w:tcW w:w="663" w:type="dxa"/>
            <w:shd w:val="clear" w:color="auto" w:fill="auto"/>
            <w:noWrap/>
            <w:vAlign w:val="bottom"/>
            <w:hideMark/>
          </w:tcPr>
          <w:p w14:paraId="209D8122"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14</w:t>
            </w:r>
          </w:p>
        </w:tc>
        <w:tc>
          <w:tcPr>
            <w:tcW w:w="663" w:type="dxa"/>
            <w:shd w:val="clear" w:color="auto" w:fill="auto"/>
            <w:noWrap/>
            <w:vAlign w:val="bottom"/>
            <w:hideMark/>
          </w:tcPr>
          <w:p w14:paraId="556FAAB3"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14</w:t>
            </w:r>
          </w:p>
        </w:tc>
        <w:tc>
          <w:tcPr>
            <w:tcW w:w="663" w:type="dxa"/>
            <w:shd w:val="clear" w:color="auto" w:fill="auto"/>
            <w:noWrap/>
            <w:vAlign w:val="bottom"/>
            <w:hideMark/>
          </w:tcPr>
          <w:p w14:paraId="37F47B75"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18</w:t>
            </w:r>
          </w:p>
        </w:tc>
        <w:tc>
          <w:tcPr>
            <w:tcW w:w="663" w:type="dxa"/>
            <w:shd w:val="clear" w:color="auto" w:fill="auto"/>
            <w:noWrap/>
            <w:vAlign w:val="bottom"/>
            <w:hideMark/>
          </w:tcPr>
          <w:p w14:paraId="3930F698"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18</w:t>
            </w:r>
          </w:p>
        </w:tc>
        <w:tc>
          <w:tcPr>
            <w:tcW w:w="663" w:type="dxa"/>
            <w:shd w:val="clear" w:color="auto" w:fill="auto"/>
            <w:noWrap/>
            <w:vAlign w:val="bottom"/>
            <w:hideMark/>
          </w:tcPr>
          <w:p w14:paraId="2670FCD0"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17</w:t>
            </w:r>
          </w:p>
        </w:tc>
        <w:tc>
          <w:tcPr>
            <w:tcW w:w="663" w:type="dxa"/>
            <w:shd w:val="clear" w:color="auto" w:fill="auto"/>
            <w:noWrap/>
            <w:vAlign w:val="bottom"/>
            <w:hideMark/>
          </w:tcPr>
          <w:p w14:paraId="579F7800"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19</w:t>
            </w:r>
          </w:p>
        </w:tc>
        <w:tc>
          <w:tcPr>
            <w:tcW w:w="663" w:type="dxa"/>
            <w:shd w:val="clear" w:color="auto" w:fill="auto"/>
            <w:noWrap/>
            <w:vAlign w:val="bottom"/>
            <w:hideMark/>
          </w:tcPr>
          <w:p w14:paraId="1BCB79EF"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16</w:t>
            </w:r>
          </w:p>
        </w:tc>
        <w:tc>
          <w:tcPr>
            <w:tcW w:w="663" w:type="dxa"/>
            <w:shd w:val="clear" w:color="auto" w:fill="auto"/>
            <w:noWrap/>
            <w:vAlign w:val="bottom"/>
            <w:hideMark/>
          </w:tcPr>
          <w:p w14:paraId="681188CF"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17</w:t>
            </w:r>
          </w:p>
        </w:tc>
        <w:tc>
          <w:tcPr>
            <w:tcW w:w="663" w:type="dxa"/>
            <w:shd w:val="clear" w:color="auto" w:fill="auto"/>
            <w:noWrap/>
            <w:vAlign w:val="bottom"/>
            <w:hideMark/>
          </w:tcPr>
          <w:p w14:paraId="03BA55E1"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6</w:t>
            </w:r>
          </w:p>
        </w:tc>
        <w:tc>
          <w:tcPr>
            <w:tcW w:w="663" w:type="dxa"/>
            <w:shd w:val="clear" w:color="auto" w:fill="auto"/>
            <w:noWrap/>
            <w:vAlign w:val="bottom"/>
            <w:hideMark/>
          </w:tcPr>
          <w:p w14:paraId="1E7D42B3"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31</w:t>
            </w:r>
          </w:p>
        </w:tc>
        <w:tc>
          <w:tcPr>
            <w:tcW w:w="1180" w:type="dxa"/>
            <w:shd w:val="clear" w:color="auto" w:fill="auto"/>
            <w:noWrap/>
            <w:vAlign w:val="bottom"/>
            <w:hideMark/>
          </w:tcPr>
          <w:p w14:paraId="46749C14"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186</w:t>
            </w:r>
          </w:p>
        </w:tc>
      </w:tr>
      <w:tr w:rsidR="00BD4D02" w:rsidRPr="00BD4D02" w14:paraId="7CF626C9" w14:textId="77777777" w:rsidTr="00050580">
        <w:trPr>
          <w:trHeight w:val="144"/>
        </w:trPr>
        <w:tc>
          <w:tcPr>
            <w:tcW w:w="4500" w:type="dxa"/>
            <w:shd w:val="clear" w:color="auto" w:fill="auto"/>
            <w:noWrap/>
            <w:vAlign w:val="bottom"/>
            <w:hideMark/>
          </w:tcPr>
          <w:p w14:paraId="14A3E6ED"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Audio (</w:t>
            </w:r>
            <w:proofErr w:type="spellStart"/>
            <w:r w:rsidRPr="00BD4D02">
              <w:rPr>
                <w:rFonts w:ascii="Calibri" w:hAnsi="Calibri" w:cs="Calibri"/>
                <w:color w:val="000000"/>
                <w:sz w:val="20"/>
                <w:szCs w:val="20"/>
              </w:rPr>
              <w:t>excl'g</w:t>
            </w:r>
            <w:proofErr w:type="spellEnd"/>
            <w:r w:rsidRPr="00BD4D02">
              <w:rPr>
                <w:rFonts w:ascii="Calibri" w:hAnsi="Calibri" w:cs="Calibri"/>
                <w:color w:val="000000"/>
                <w:sz w:val="20"/>
                <w:szCs w:val="20"/>
              </w:rPr>
              <w:t xml:space="preserve"> radio)</w:t>
            </w:r>
          </w:p>
        </w:tc>
        <w:tc>
          <w:tcPr>
            <w:tcW w:w="770" w:type="dxa"/>
            <w:shd w:val="clear" w:color="auto" w:fill="auto"/>
            <w:noWrap/>
            <w:vAlign w:val="bottom"/>
            <w:hideMark/>
          </w:tcPr>
          <w:p w14:paraId="6EDED0BD"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74FACDCE" w14:textId="77777777" w:rsidR="00BD4D02" w:rsidRPr="00BD4D02" w:rsidRDefault="00BD4D02" w:rsidP="00BD4D02">
            <w:pPr>
              <w:rPr>
                <w:sz w:val="20"/>
                <w:szCs w:val="20"/>
              </w:rPr>
            </w:pPr>
          </w:p>
        </w:tc>
        <w:tc>
          <w:tcPr>
            <w:tcW w:w="663" w:type="dxa"/>
            <w:shd w:val="clear" w:color="auto" w:fill="auto"/>
            <w:noWrap/>
            <w:vAlign w:val="bottom"/>
            <w:hideMark/>
          </w:tcPr>
          <w:p w14:paraId="54B64E72" w14:textId="77777777" w:rsidR="00BD4D02" w:rsidRPr="00BD4D02" w:rsidRDefault="00BD4D02" w:rsidP="00BD4D02">
            <w:pPr>
              <w:rPr>
                <w:sz w:val="20"/>
                <w:szCs w:val="20"/>
              </w:rPr>
            </w:pPr>
          </w:p>
        </w:tc>
        <w:tc>
          <w:tcPr>
            <w:tcW w:w="663" w:type="dxa"/>
            <w:shd w:val="clear" w:color="auto" w:fill="auto"/>
            <w:noWrap/>
            <w:vAlign w:val="bottom"/>
            <w:hideMark/>
          </w:tcPr>
          <w:p w14:paraId="70EC59EE" w14:textId="77777777" w:rsidR="00BD4D02" w:rsidRPr="00BD4D02" w:rsidRDefault="00BD4D02" w:rsidP="00BD4D02">
            <w:pPr>
              <w:rPr>
                <w:sz w:val="20"/>
                <w:szCs w:val="20"/>
              </w:rPr>
            </w:pPr>
          </w:p>
        </w:tc>
        <w:tc>
          <w:tcPr>
            <w:tcW w:w="663" w:type="dxa"/>
            <w:shd w:val="clear" w:color="auto" w:fill="auto"/>
            <w:noWrap/>
            <w:vAlign w:val="bottom"/>
            <w:hideMark/>
          </w:tcPr>
          <w:p w14:paraId="3642FC98" w14:textId="77777777" w:rsidR="00BD4D02" w:rsidRPr="00BD4D02" w:rsidRDefault="00BD4D02" w:rsidP="00BD4D02">
            <w:pPr>
              <w:rPr>
                <w:sz w:val="20"/>
                <w:szCs w:val="20"/>
              </w:rPr>
            </w:pPr>
          </w:p>
        </w:tc>
        <w:tc>
          <w:tcPr>
            <w:tcW w:w="663" w:type="dxa"/>
            <w:shd w:val="clear" w:color="auto" w:fill="auto"/>
            <w:noWrap/>
            <w:vAlign w:val="bottom"/>
            <w:hideMark/>
          </w:tcPr>
          <w:p w14:paraId="42E113E2"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4FC49593"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43AB0563" w14:textId="77777777" w:rsidR="00BD4D02" w:rsidRPr="00BD4D02" w:rsidRDefault="00BD4D02" w:rsidP="00BD4D02">
            <w:pPr>
              <w:rPr>
                <w:sz w:val="20"/>
                <w:szCs w:val="20"/>
              </w:rPr>
            </w:pPr>
          </w:p>
        </w:tc>
        <w:tc>
          <w:tcPr>
            <w:tcW w:w="663" w:type="dxa"/>
            <w:shd w:val="clear" w:color="auto" w:fill="auto"/>
            <w:noWrap/>
            <w:vAlign w:val="bottom"/>
            <w:hideMark/>
          </w:tcPr>
          <w:p w14:paraId="12FA90C4" w14:textId="77777777" w:rsidR="00BD4D02" w:rsidRPr="00BD4D02" w:rsidRDefault="00BD4D02" w:rsidP="00BD4D02">
            <w:pPr>
              <w:rPr>
                <w:sz w:val="20"/>
                <w:szCs w:val="20"/>
              </w:rPr>
            </w:pPr>
          </w:p>
        </w:tc>
        <w:tc>
          <w:tcPr>
            <w:tcW w:w="663" w:type="dxa"/>
            <w:shd w:val="clear" w:color="auto" w:fill="auto"/>
            <w:noWrap/>
            <w:vAlign w:val="bottom"/>
            <w:hideMark/>
          </w:tcPr>
          <w:p w14:paraId="319074F6" w14:textId="77777777" w:rsidR="00BD4D02" w:rsidRPr="00BD4D02" w:rsidRDefault="00BD4D02" w:rsidP="00BD4D02">
            <w:pPr>
              <w:rPr>
                <w:sz w:val="20"/>
                <w:szCs w:val="20"/>
              </w:rPr>
            </w:pPr>
          </w:p>
        </w:tc>
        <w:tc>
          <w:tcPr>
            <w:tcW w:w="663" w:type="dxa"/>
            <w:shd w:val="clear" w:color="auto" w:fill="auto"/>
            <w:noWrap/>
            <w:vAlign w:val="bottom"/>
            <w:hideMark/>
          </w:tcPr>
          <w:p w14:paraId="0DE3DF55" w14:textId="77777777" w:rsidR="00BD4D02" w:rsidRPr="00BD4D02" w:rsidRDefault="00BD4D02" w:rsidP="00BD4D02">
            <w:pPr>
              <w:rPr>
                <w:sz w:val="20"/>
                <w:szCs w:val="20"/>
              </w:rPr>
            </w:pPr>
          </w:p>
        </w:tc>
        <w:tc>
          <w:tcPr>
            <w:tcW w:w="663" w:type="dxa"/>
            <w:shd w:val="clear" w:color="auto" w:fill="auto"/>
            <w:noWrap/>
            <w:vAlign w:val="bottom"/>
            <w:hideMark/>
          </w:tcPr>
          <w:p w14:paraId="79FB6ACF" w14:textId="77777777" w:rsidR="00BD4D02" w:rsidRPr="00BD4D02" w:rsidRDefault="00BD4D02" w:rsidP="00BD4D02">
            <w:pPr>
              <w:rPr>
                <w:sz w:val="20"/>
                <w:szCs w:val="20"/>
              </w:rPr>
            </w:pPr>
          </w:p>
        </w:tc>
        <w:tc>
          <w:tcPr>
            <w:tcW w:w="1180" w:type="dxa"/>
            <w:shd w:val="clear" w:color="auto" w:fill="auto"/>
            <w:noWrap/>
            <w:vAlign w:val="bottom"/>
            <w:hideMark/>
          </w:tcPr>
          <w:p w14:paraId="3D3D8A79"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02C565F1" w14:textId="77777777" w:rsidTr="00050580">
        <w:trPr>
          <w:trHeight w:val="144"/>
        </w:trPr>
        <w:tc>
          <w:tcPr>
            <w:tcW w:w="4500" w:type="dxa"/>
            <w:shd w:val="clear" w:color="auto" w:fill="auto"/>
            <w:noWrap/>
            <w:vAlign w:val="bottom"/>
            <w:hideMark/>
          </w:tcPr>
          <w:p w14:paraId="0A3ADD44"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Broadband</w:t>
            </w:r>
          </w:p>
        </w:tc>
        <w:tc>
          <w:tcPr>
            <w:tcW w:w="770" w:type="dxa"/>
            <w:shd w:val="clear" w:color="auto" w:fill="auto"/>
            <w:noWrap/>
            <w:vAlign w:val="bottom"/>
            <w:hideMark/>
          </w:tcPr>
          <w:p w14:paraId="0F473114"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393288A9" w14:textId="77777777" w:rsidR="00BD4D02" w:rsidRPr="00BD4D02" w:rsidRDefault="00BD4D02" w:rsidP="00BD4D02">
            <w:pPr>
              <w:rPr>
                <w:sz w:val="20"/>
                <w:szCs w:val="20"/>
              </w:rPr>
            </w:pPr>
          </w:p>
        </w:tc>
        <w:tc>
          <w:tcPr>
            <w:tcW w:w="663" w:type="dxa"/>
            <w:shd w:val="clear" w:color="auto" w:fill="auto"/>
            <w:noWrap/>
            <w:vAlign w:val="bottom"/>
            <w:hideMark/>
          </w:tcPr>
          <w:p w14:paraId="62B17E4E" w14:textId="77777777" w:rsidR="00BD4D02" w:rsidRPr="00BD4D02" w:rsidRDefault="00BD4D02" w:rsidP="00BD4D02">
            <w:pPr>
              <w:rPr>
                <w:sz w:val="20"/>
                <w:szCs w:val="20"/>
              </w:rPr>
            </w:pPr>
          </w:p>
        </w:tc>
        <w:tc>
          <w:tcPr>
            <w:tcW w:w="663" w:type="dxa"/>
            <w:shd w:val="clear" w:color="auto" w:fill="auto"/>
            <w:noWrap/>
            <w:vAlign w:val="bottom"/>
            <w:hideMark/>
          </w:tcPr>
          <w:p w14:paraId="4E47580B" w14:textId="77777777" w:rsidR="00BD4D02" w:rsidRPr="00BD4D02" w:rsidRDefault="00BD4D02" w:rsidP="00BD4D02">
            <w:pPr>
              <w:rPr>
                <w:sz w:val="20"/>
                <w:szCs w:val="20"/>
              </w:rPr>
            </w:pPr>
          </w:p>
        </w:tc>
        <w:tc>
          <w:tcPr>
            <w:tcW w:w="663" w:type="dxa"/>
            <w:shd w:val="clear" w:color="auto" w:fill="auto"/>
            <w:noWrap/>
            <w:vAlign w:val="bottom"/>
            <w:hideMark/>
          </w:tcPr>
          <w:p w14:paraId="22097271" w14:textId="77777777" w:rsidR="00BD4D02" w:rsidRPr="00BD4D02" w:rsidRDefault="00BD4D02" w:rsidP="00BD4D02">
            <w:pPr>
              <w:rPr>
                <w:sz w:val="20"/>
                <w:szCs w:val="20"/>
              </w:rPr>
            </w:pPr>
          </w:p>
        </w:tc>
        <w:tc>
          <w:tcPr>
            <w:tcW w:w="663" w:type="dxa"/>
            <w:shd w:val="clear" w:color="auto" w:fill="auto"/>
            <w:noWrap/>
            <w:vAlign w:val="bottom"/>
            <w:hideMark/>
          </w:tcPr>
          <w:p w14:paraId="5F7827B9" w14:textId="77777777" w:rsidR="00BD4D02" w:rsidRPr="00BD4D02" w:rsidRDefault="00BD4D02" w:rsidP="00BD4D02">
            <w:pPr>
              <w:rPr>
                <w:sz w:val="20"/>
                <w:szCs w:val="20"/>
              </w:rPr>
            </w:pPr>
          </w:p>
        </w:tc>
        <w:tc>
          <w:tcPr>
            <w:tcW w:w="663" w:type="dxa"/>
            <w:shd w:val="clear" w:color="auto" w:fill="auto"/>
            <w:noWrap/>
            <w:vAlign w:val="bottom"/>
            <w:hideMark/>
          </w:tcPr>
          <w:p w14:paraId="1F98D9C6" w14:textId="77777777" w:rsidR="00BD4D02" w:rsidRPr="00BD4D02" w:rsidRDefault="00BD4D02" w:rsidP="00BD4D02">
            <w:pPr>
              <w:rPr>
                <w:sz w:val="20"/>
                <w:szCs w:val="20"/>
              </w:rPr>
            </w:pPr>
          </w:p>
        </w:tc>
        <w:tc>
          <w:tcPr>
            <w:tcW w:w="663" w:type="dxa"/>
            <w:shd w:val="clear" w:color="auto" w:fill="auto"/>
            <w:noWrap/>
            <w:vAlign w:val="bottom"/>
            <w:hideMark/>
          </w:tcPr>
          <w:p w14:paraId="45E7342E" w14:textId="77777777" w:rsidR="00BD4D02" w:rsidRPr="00BD4D02" w:rsidRDefault="00BD4D02" w:rsidP="00BD4D02">
            <w:pPr>
              <w:rPr>
                <w:sz w:val="20"/>
                <w:szCs w:val="20"/>
              </w:rPr>
            </w:pPr>
          </w:p>
        </w:tc>
        <w:tc>
          <w:tcPr>
            <w:tcW w:w="663" w:type="dxa"/>
            <w:shd w:val="clear" w:color="auto" w:fill="auto"/>
            <w:noWrap/>
            <w:vAlign w:val="bottom"/>
            <w:hideMark/>
          </w:tcPr>
          <w:p w14:paraId="51C9ABD7" w14:textId="77777777" w:rsidR="00BD4D02" w:rsidRPr="00BD4D02" w:rsidRDefault="00BD4D02" w:rsidP="00BD4D02">
            <w:pPr>
              <w:rPr>
                <w:sz w:val="20"/>
                <w:szCs w:val="20"/>
              </w:rPr>
            </w:pPr>
          </w:p>
        </w:tc>
        <w:tc>
          <w:tcPr>
            <w:tcW w:w="663" w:type="dxa"/>
            <w:shd w:val="clear" w:color="auto" w:fill="auto"/>
            <w:noWrap/>
            <w:vAlign w:val="bottom"/>
            <w:hideMark/>
          </w:tcPr>
          <w:p w14:paraId="40D23CDC" w14:textId="77777777" w:rsidR="00BD4D02" w:rsidRPr="00BD4D02" w:rsidRDefault="00BD4D02" w:rsidP="00BD4D02">
            <w:pPr>
              <w:rPr>
                <w:sz w:val="20"/>
                <w:szCs w:val="20"/>
              </w:rPr>
            </w:pPr>
          </w:p>
        </w:tc>
        <w:tc>
          <w:tcPr>
            <w:tcW w:w="663" w:type="dxa"/>
            <w:shd w:val="clear" w:color="auto" w:fill="auto"/>
            <w:noWrap/>
            <w:vAlign w:val="bottom"/>
            <w:hideMark/>
          </w:tcPr>
          <w:p w14:paraId="5C759106" w14:textId="77777777" w:rsidR="00BD4D02" w:rsidRPr="00BD4D02" w:rsidRDefault="00BD4D02" w:rsidP="00BD4D02">
            <w:pPr>
              <w:rPr>
                <w:sz w:val="20"/>
                <w:szCs w:val="20"/>
              </w:rPr>
            </w:pPr>
          </w:p>
        </w:tc>
        <w:tc>
          <w:tcPr>
            <w:tcW w:w="663" w:type="dxa"/>
            <w:shd w:val="clear" w:color="auto" w:fill="auto"/>
            <w:noWrap/>
            <w:vAlign w:val="bottom"/>
            <w:hideMark/>
          </w:tcPr>
          <w:p w14:paraId="25496980"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1180" w:type="dxa"/>
            <w:shd w:val="clear" w:color="auto" w:fill="auto"/>
            <w:noWrap/>
            <w:vAlign w:val="bottom"/>
            <w:hideMark/>
          </w:tcPr>
          <w:p w14:paraId="0C611092"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1D11A3AC" w14:textId="77777777" w:rsidTr="00050580">
        <w:trPr>
          <w:trHeight w:val="144"/>
        </w:trPr>
        <w:tc>
          <w:tcPr>
            <w:tcW w:w="4500" w:type="dxa"/>
            <w:shd w:val="clear" w:color="auto" w:fill="auto"/>
            <w:noWrap/>
            <w:vAlign w:val="bottom"/>
            <w:hideMark/>
          </w:tcPr>
          <w:p w14:paraId="69E48B2A"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Broadband - access</w:t>
            </w:r>
          </w:p>
        </w:tc>
        <w:tc>
          <w:tcPr>
            <w:tcW w:w="770" w:type="dxa"/>
            <w:shd w:val="clear" w:color="auto" w:fill="auto"/>
            <w:noWrap/>
            <w:vAlign w:val="bottom"/>
            <w:hideMark/>
          </w:tcPr>
          <w:p w14:paraId="7FBBC870"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62055D08"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02CEEEED"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57B0A69B" w14:textId="77777777" w:rsidR="00BD4D02" w:rsidRPr="00BD4D02" w:rsidRDefault="00BD4D02" w:rsidP="00BD4D02">
            <w:pPr>
              <w:rPr>
                <w:sz w:val="20"/>
                <w:szCs w:val="20"/>
              </w:rPr>
            </w:pPr>
          </w:p>
        </w:tc>
        <w:tc>
          <w:tcPr>
            <w:tcW w:w="663" w:type="dxa"/>
            <w:shd w:val="clear" w:color="auto" w:fill="auto"/>
            <w:noWrap/>
            <w:vAlign w:val="bottom"/>
            <w:hideMark/>
          </w:tcPr>
          <w:p w14:paraId="2EF45E1B" w14:textId="77777777" w:rsidR="00BD4D02" w:rsidRPr="00BD4D02" w:rsidRDefault="00BD4D02" w:rsidP="00BD4D02">
            <w:pPr>
              <w:rPr>
                <w:sz w:val="20"/>
                <w:szCs w:val="20"/>
              </w:rPr>
            </w:pPr>
          </w:p>
        </w:tc>
        <w:tc>
          <w:tcPr>
            <w:tcW w:w="663" w:type="dxa"/>
            <w:shd w:val="clear" w:color="auto" w:fill="auto"/>
            <w:noWrap/>
            <w:vAlign w:val="bottom"/>
            <w:hideMark/>
          </w:tcPr>
          <w:p w14:paraId="6FCAFB76" w14:textId="77777777" w:rsidR="00BD4D02" w:rsidRPr="00BD4D02" w:rsidRDefault="00BD4D02" w:rsidP="00BD4D02">
            <w:pPr>
              <w:rPr>
                <w:sz w:val="20"/>
                <w:szCs w:val="20"/>
              </w:rPr>
            </w:pPr>
          </w:p>
        </w:tc>
        <w:tc>
          <w:tcPr>
            <w:tcW w:w="663" w:type="dxa"/>
            <w:shd w:val="clear" w:color="auto" w:fill="auto"/>
            <w:noWrap/>
            <w:vAlign w:val="bottom"/>
            <w:hideMark/>
          </w:tcPr>
          <w:p w14:paraId="591DCCE9"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674AE7F9"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3FB239C9"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335FB74D"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7A07D24C"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191B98D6"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w:t>
            </w:r>
          </w:p>
        </w:tc>
        <w:tc>
          <w:tcPr>
            <w:tcW w:w="1180" w:type="dxa"/>
            <w:shd w:val="clear" w:color="auto" w:fill="auto"/>
            <w:noWrap/>
            <w:vAlign w:val="bottom"/>
            <w:hideMark/>
          </w:tcPr>
          <w:p w14:paraId="52C2FA85"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9</w:t>
            </w:r>
          </w:p>
        </w:tc>
      </w:tr>
      <w:tr w:rsidR="00BD4D02" w:rsidRPr="00BD4D02" w14:paraId="22B2CE4F" w14:textId="77777777" w:rsidTr="00050580">
        <w:trPr>
          <w:trHeight w:val="144"/>
        </w:trPr>
        <w:tc>
          <w:tcPr>
            <w:tcW w:w="4500" w:type="dxa"/>
            <w:shd w:val="clear" w:color="auto" w:fill="auto"/>
            <w:noWrap/>
            <w:vAlign w:val="bottom"/>
            <w:hideMark/>
          </w:tcPr>
          <w:p w14:paraId="48C0D1C7"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Broadband - connection types</w:t>
            </w:r>
          </w:p>
        </w:tc>
        <w:tc>
          <w:tcPr>
            <w:tcW w:w="770" w:type="dxa"/>
            <w:shd w:val="clear" w:color="auto" w:fill="auto"/>
            <w:noWrap/>
            <w:vAlign w:val="bottom"/>
            <w:hideMark/>
          </w:tcPr>
          <w:p w14:paraId="283CA665"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39C84822"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53841937" w14:textId="77777777" w:rsidR="00BD4D02" w:rsidRPr="00BD4D02" w:rsidRDefault="00BD4D02" w:rsidP="00BD4D02">
            <w:pPr>
              <w:rPr>
                <w:sz w:val="20"/>
                <w:szCs w:val="20"/>
              </w:rPr>
            </w:pPr>
          </w:p>
        </w:tc>
        <w:tc>
          <w:tcPr>
            <w:tcW w:w="663" w:type="dxa"/>
            <w:shd w:val="clear" w:color="auto" w:fill="auto"/>
            <w:noWrap/>
            <w:vAlign w:val="bottom"/>
            <w:hideMark/>
          </w:tcPr>
          <w:p w14:paraId="0DC83D28" w14:textId="77777777" w:rsidR="00BD4D02" w:rsidRPr="00BD4D02" w:rsidRDefault="00BD4D02" w:rsidP="00BD4D02">
            <w:pPr>
              <w:rPr>
                <w:sz w:val="20"/>
                <w:szCs w:val="20"/>
              </w:rPr>
            </w:pPr>
          </w:p>
        </w:tc>
        <w:tc>
          <w:tcPr>
            <w:tcW w:w="663" w:type="dxa"/>
            <w:shd w:val="clear" w:color="auto" w:fill="auto"/>
            <w:noWrap/>
            <w:vAlign w:val="bottom"/>
            <w:hideMark/>
          </w:tcPr>
          <w:p w14:paraId="55DEE9C4" w14:textId="77777777" w:rsidR="00BD4D02" w:rsidRPr="00BD4D02" w:rsidRDefault="00BD4D02" w:rsidP="00BD4D02">
            <w:pPr>
              <w:rPr>
                <w:sz w:val="20"/>
                <w:szCs w:val="20"/>
              </w:rPr>
            </w:pPr>
          </w:p>
        </w:tc>
        <w:tc>
          <w:tcPr>
            <w:tcW w:w="663" w:type="dxa"/>
            <w:shd w:val="clear" w:color="auto" w:fill="auto"/>
            <w:noWrap/>
            <w:vAlign w:val="bottom"/>
            <w:hideMark/>
          </w:tcPr>
          <w:p w14:paraId="63BAF3EB" w14:textId="77777777" w:rsidR="00BD4D02" w:rsidRPr="00BD4D02" w:rsidRDefault="00BD4D02" w:rsidP="00BD4D02">
            <w:pPr>
              <w:rPr>
                <w:sz w:val="20"/>
                <w:szCs w:val="20"/>
              </w:rPr>
            </w:pPr>
          </w:p>
        </w:tc>
        <w:tc>
          <w:tcPr>
            <w:tcW w:w="663" w:type="dxa"/>
            <w:shd w:val="clear" w:color="auto" w:fill="auto"/>
            <w:noWrap/>
            <w:vAlign w:val="bottom"/>
            <w:hideMark/>
          </w:tcPr>
          <w:p w14:paraId="162C77E8" w14:textId="77777777" w:rsidR="00BD4D02" w:rsidRPr="00BD4D02" w:rsidRDefault="00BD4D02" w:rsidP="00BD4D02">
            <w:pPr>
              <w:rPr>
                <w:sz w:val="20"/>
                <w:szCs w:val="20"/>
              </w:rPr>
            </w:pPr>
          </w:p>
        </w:tc>
        <w:tc>
          <w:tcPr>
            <w:tcW w:w="663" w:type="dxa"/>
            <w:shd w:val="clear" w:color="auto" w:fill="auto"/>
            <w:noWrap/>
            <w:vAlign w:val="bottom"/>
            <w:hideMark/>
          </w:tcPr>
          <w:p w14:paraId="4300CA96" w14:textId="77777777" w:rsidR="00BD4D02" w:rsidRPr="00BD4D02" w:rsidRDefault="00BD4D02" w:rsidP="00BD4D02">
            <w:pPr>
              <w:rPr>
                <w:sz w:val="20"/>
                <w:szCs w:val="20"/>
              </w:rPr>
            </w:pPr>
          </w:p>
        </w:tc>
        <w:tc>
          <w:tcPr>
            <w:tcW w:w="663" w:type="dxa"/>
            <w:shd w:val="clear" w:color="auto" w:fill="auto"/>
            <w:noWrap/>
            <w:vAlign w:val="bottom"/>
            <w:hideMark/>
          </w:tcPr>
          <w:p w14:paraId="1068A507" w14:textId="77777777" w:rsidR="00BD4D02" w:rsidRPr="00BD4D02" w:rsidRDefault="00BD4D02" w:rsidP="00BD4D02">
            <w:pPr>
              <w:rPr>
                <w:sz w:val="20"/>
                <w:szCs w:val="20"/>
              </w:rPr>
            </w:pPr>
          </w:p>
        </w:tc>
        <w:tc>
          <w:tcPr>
            <w:tcW w:w="663" w:type="dxa"/>
            <w:shd w:val="clear" w:color="auto" w:fill="auto"/>
            <w:noWrap/>
            <w:vAlign w:val="bottom"/>
            <w:hideMark/>
          </w:tcPr>
          <w:p w14:paraId="198FAA6D" w14:textId="77777777" w:rsidR="00BD4D02" w:rsidRPr="00BD4D02" w:rsidRDefault="00BD4D02" w:rsidP="00BD4D02">
            <w:pPr>
              <w:rPr>
                <w:sz w:val="20"/>
                <w:szCs w:val="20"/>
              </w:rPr>
            </w:pPr>
          </w:p>
        </w:tc>
        <w:tc>
          <w:tcPr>
            <w:tcW w:w="663" w:type="dxa"/>
            <w:shd w:val="clear" w:color="auto" w:fill="auto"/>
            <w:noWrap/>
            <w:vAlign w:val="bottom"/>
            <w:hideMark/>
          </w:tcPr>
          <w:p w14:paraId="3789E9DF" w14:textId="77777777" w:rsidR="00BD4D02" w:rsidRPr="00BD4D02" w:rsidRDefault="00BD4D02" w:rsidP="00BD4D02">
            <w:pPr>
              <w:rPr>
                <w:sz w:val="20"/>
                <w:szCs w:val="20"/>
              </w:rPr>
            </w:pPr>
          </w:p>
        </w:tc>
        <w:tc>
          <w:tcPr>
            <w:tcW w:w="663" w:type="dxa"/>
            <w:shd w:val="clear" w:color="auto" w:fill="auto"/>
            <w:noWrap/>
            <w:vAlign w:val="bottom"/>
            <w:hideMark/>
          </w:tcPr>
          <w:p w14:paraId="40DDD46C" w14:textId="77777777" w:rsidR="00BD4D02" w:rsidRPr="00BD4D02" w:rsidRDefault="00BD4D02" w:rsidP="00BD4D02">
            <w:pPr>
              <w:rPr>
                <w:sz w:val="20"/>
                <w:szCs w:val="20"/>
              </w:rPr>
            </w:pPr>
          </w:p>
        </w:tc>
        <w:tc>
          <w:tcPr>
            <w:tcW w:w="1180" w:type="dxa"/>
            <w:shd w:val="clear" w:color="auto" w:fill="auto"/>
            <w:noWrap/>
            <w:vAlign w:val="bottom"/>
            <w:hideMark/>
          </w:tcPr>
          <w:p w14:paraId="192B06DB"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729657D0" w14:textId="77777777" w:rsidTr="00050580">
        <w:trPr>
          <w:trHeight w:val="144"/>
        </w:trPr>
        <w:tc>
          <w:tcPr>
            <w:tcW w:w="4500" w:type="dxa"/>
            <w:shd w:val="clear" w:color="auto" w:fill="auto"/>
            <w:noWrap/>
            <w:vAlign w:val="bottom"/>
            <w:hideMark/>
          </w:tcPr>
          <w:p w14:paraId="40A182DE"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Broadband - First Nations</w:t>
            </w:r>
          </w:p>
        </w:tc>
        <w:tc>
          <w:tcPr>
            <w:tcW w:w="770" w:type="dxa"/>
            <w:shd w:val="clear" w:color="auto" w:fill="auto"/>
            <w:noWrap/>
            <w:vAlign w:val="bottom"/>
            <w:hideMark/>
          </w:tcPr>
          <w:p w14:paraId="0F265425"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4C76CC95" w14:textId="77777777" w:rsidR="00BD4D02" w:rsidRPr="00BD4D02" w:rsidRDefault="00BD4D02" w:rsidP="00BD4D02">
            <w:pPr>
              <w:rPr>
                <w:sz w:val="20"/>
                <w:szCs w:val="20"/>
              </w:rPr>
            </w:pPr>
          </w:p>
        </w:tc>
        <w:tc>
          <w:tcPr>
            <w:tcW w:w="663" w:type="dxa"/>
            <w:shd w:val="clear" w:color="auto" w:fill="auto"/>
            <w:noWrap/>
            <w:vAlign w:val="bottom"/>
            <w:hideMark/>
          </w:tcPr>
          <w:p w14:paraId="0493525D" w14:textId="77777777" w:rsidR="00BD4D02" w:rsidRPr="00BD4D02" w:rsidRDefault="00BD4D02" w:rsidP="00BD4D02">
            <w:pPr>
              <w:rPr>
                <w:sz w:val="20"/>
                <w:szCs w:val="20"/>
              </w:rPr>
            </w:pPr>
          </w:p>
        </w:tc>
        <w:tc>
          <w:tcPr>
            <w:tcW w:w="663" w:type="dxa"/>
            <w:shd w:val="clear" w:color="auto" w:fill="auto"/>
            <w:noWrap/>
            <w:vAlign w:val="bottom"/>
            <w:hideMark/>
          </w:tcPr>
          <w:p w14:paraId="22CB7248" w14:textId="77777777" w:rsidR="00BD4D02" w:rsidRPr="00BD4D02" w:rsidRDefault="00BD4D02" w:rsidP="00BD4D02">
            <w:pPr>
              <w:rPr>
                <w:sz w:val="20"/>
                <w:szCs w:val="20"/>
              </w:rPr>
            </w:pPr>
          </w:p>
        </w:tc>
        <w:tc>
          <w:tcPr>
            <w:tcW w:w="663" w:type="dxa"/>
            <w:shd w:val="clear" w:color="auto" w:fill="auto"/>
            <w:noWrap/>
            <w:vAlign w:val="bottom"/>
            <w:hideMark/>
          </w:tcPr>
          <w:p w14:paraId="71EC0C58" w14:textId="77777777" w:rsidR="00BD4D02" w:rsidRPr="00BD4D02" w:rsidRDefault="00BD4D02" w:rsidP="00BD4D02">
            <w:pPr>
              <w:rPr>
                <w:sz w:val="20"/>
                <w:szCs w:val="20"/>
              </w:rPr>
            </w:pPr>
          </w:p>
        </w:tc>
        <w:tc>
          <w:tcPr>
            <w:tcW w:w="663" w:type="dxa"/>
            <w:shd w:val="clear" w:color="auto" w:fill="auto"/>
            <w:noWrap/>
            <w:vAlign w:val="bottom"/>
            <w:hideMark/>
          </w:tcPr>
          <w:p w14:paraId="07A28428" w14:textId="77777777" w:rsidR="00BD4D02" w:rsidRPr="00BD4D02" w:rsidRDefault="00BD4D02" w:rsidP="00BD4D02">
            <w:pPr>
              <w:rPr>
                <w:sz w:val="20"/>
                <w:szCs w:val="20"/>
              </w:rPr>
            </w:pPr>
          </w:p>
        </w:tc>
        <w:tc>
          <w:tcPr>
            <w:tcW w:w="663" w:type="dxa"/>
            <w:shd w:val="clear" w:color="auto" w:fill="auto"/>
            <w:noWrap/>
            <w:vAlign w:val="bottom"/>
            <w:hideMark/>
          </w:tcPr>
          <w:p w14:paraId="00B4B380" w14:textId="77777777" w:rsidR="00BD4D02" w:rsidRPr="00BD4D02" w:rsidRDefault="00BD4D02" w:rsidP="00BD4D02">
            <w:pPr>
              <w:rPr>
                <w:sz w:val="20"/>
                <w:szCs w:val="20"/>
              </w:rPr>
            </w:pPr>
          </w:p>
        </w:tc>
        <w:tc>
          <w:tcPr>
            <w:tcW w:w="663" w:type="dxa"/>
            <w:shd w:val="clear" w:color="auto" w:fill="auto"/>
            <w:noWrap/>
            <w:vAlign w:val="bottom"/>
            <w:hideMark/>
          </w:tcPr>
          <w:p w14:paraId="2F56D51F" w14:textId="77777777" w:rsidR="00BD4D02" w:rsidRPr="00BD4D02" w:rsidRDefault="00BD4D02" w:rsidP="00BD4D02">
            <w:pPr>
              <w:rPr>
                <w:sz w:val="20"/>
                <w:szCs w:val="20"/>
              </w:rPr>
            </w:pPr>
          </w:p>
        </w:tc>
        <w:tc>
          <w:tcPr>
            <w:tcW w:w="663" w:type="dxa"/>
            <w:shd w:val="clear" w:color="auto" w:fill="auto"/>
            <w:noWrap/>
            <w:vAlign w:val="bottom"/>
            <w:hideMark/>
          </w:tcPr>
          <w:p w14:paraId="313AD2C4" w14:textId="77777777" w:rsidR="00BD4D02" w:rsidRPr="00BD4D02" w:rsidRDefault="00BD4D02" w:rsidP="00BD4D02">
            <w:pPr>
              <w:rPr>
                <w:sz w:val="20"/>
                <w:szCs w:val="20"/>
              </w:rPr>
            </w:pPr>
          </w:p>
        </w:tc>
        <w:tc>
          <w:tcPr>
            <w:tcW w:w="663" w:type="dxa"/>
            <w:shd w:val="clear" w:color="auto" w:fill="auto"/>
            <w:noWrap/>
            <w:vAlign w:val="bottom"/>
            <w:hideMark/>
          </w:tcPr>
          <w:p w14:paraId="38B479A4" w14:textId="77777777" w:rsidR="00BD4D02" w:rsidRPr="00BD4D02" w:rsidRDefault="00BD4D02" w:rsidP="00BD4D02">
            <w:pPr>
              <w:rPr>
                <w:sz w:val="20"/>
                <w:szCs w:val="20"/>
              </w:rPr>
            </w:pPr>
          </w:p>
        </w:tc>
        <w:tc>
          <w:tcPr>
            <w:tcW w:w="663" w:type="dxa"/>
            <w:shd w:val="clear" w:color="auto" w:fill="auto"/>
            <w:noWrap/>
            <w:vAlign w:val="bottom"/>
            <w:hideMark/>
          </w:tcPr>
          <w:p w14:paraId="7EAB4EE5" w14:textId="77777777" w:rsidR="00BD4D02" w:rsidRPr="00BD4D02" w:rsidRDefault="00BD4D02" w:rsidP="00BD4D02">
            <w:pPr>
              <w:rPr>
                <w:sz w:val="20"/>
                <w:szCs w:val="20"/>
              </w:rPr>
            </w:pPr>
          </w:p>
        </w:tc>
        <w:tc>
          <w:tcPr>
            <w:tcW w:w="663" w:type="dxa"/>
            <w:shd w:val="clear" w:color="auto" w:fill="auto"/>
            <w:noWrap/>
            <w:vAlign w:val="bottom"/>
            <w:hideMark/>
          </w:tcPr>
          <w:p w14:paraId="0CFEA646"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1180" w:type="dxa"/>
            <w:shd w:val="clear" w:color="auto" w:fill="auto"/>
            <w:noWrap/>
            <w:vAlign w:val="bottom"/>
            <w:hideMark/>
          </w:tcPr>
          <w:p w14:paraId="203D814E"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22C6F445" w14:textId="77777777" w:rsidTr="00050580">
        <w:trPr>
          <w:trHeight w:val="144"/>
        </w:trPr>
        <w:tc>
          <w:tcPr>
            <w:tcW w:w="4500" w:type="dxa"/>
            <w:shd w:val="clear" w:color="auto" w:fill="auto"/>
            <w:noWrap/>
            <w:vAlign w:val="bottom"/>
            <w:hideMark/>
          </w:tcPr>
          <w:p w14:paraId="0CB3B589"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Broadband - fixed</w:t>
            </w:r>
          </w:p>
        </w:tc>
        <w:tc>
          <w:tcPr>
            <w:tcW w:w="770" w:type="dxa"/>
            <w:shd w:val="clear" w:color="auto" w:fill="auto"/>
            <w:noWrap/>
            <w:vAlign w:val="bottom"/>
            <w:hideMark/>
          </w:tcPr>
          <w:p w14:paraId="6547FCB1"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15B60DC9" w14:textId="77777777" w:rsidR="00BD4D02" w:rsidRPr="00BD4D02" w:rsidRDefault="00BD4D02" w:rsidP="00BD4D02">
            <w:pPr>
              <w:rPr>
                <w:sz w:val="20"/>
                <w:szCs w:val="20"/>
              </w:rPr>
            </w:pPr>
          </w:p>
        </w:tc>
        <w:tc>
          <w:tcPr>
            <w:tcW w:w="663" w:type="dxa"/>
            <w:shd w:val="clear" w:color="auto" w:fill="auto"/>
            <w:noWrap/>
            <w:vAlign w:val="bottom"/>
            <w:hideMark/>
          </w:tcPr>
          <w:p w14:paraId="043B98B0" w14:textId="77777777" w:rsidR="00BD4D02" w:rsidRPr="00BD4D02" w:rsidRDefault="00BD4D02" w:rsidP="00BD4D02">
            <w:pPr>
              <w:rPr>
                <w:sz w:val="20"/>
                <w:szCs w:val="20"/>
              </w:rPr>
            </w:pPr>
          </w:p>
        </w:tc>
        <w:tc>
          <w:tcPr>
            <w:tcW w:w="663" w:type="dxa"/>
            <w:shd w:val="clear" w:color="auto" w:fill="auto"/>
            <w:noWrap/>
            <w:vAlign w:val="bottom"/>
            <w:hideMark/>
          </w:tcPr>
          <w:p w14:paraId="7D5D420B" w14:textId="77777777" w:rsidR="00BD4D02" w:rsidRPr="00BD4D02" w:rsidRDefault="00BD4D02" w:rsidP="00BD4D02">
            <w:pPr>
              <w:rPr>
                <w:sz w:val="20"/>
                <w:szCs w:val="20"/>
              </w:rPr>
            </w:pPr>
          </w:p>
        </w:tc>
        <w:tc>
          <w:tcPr>
            <w:tcW w:w="663" w:type="dxa"/>
            <w:shd w:val="clear" w:color="auto" w:fill="auto"/>
            <w:noWrap/>
            <w:vAlign w:val="bottom"/>
            <w:hideMark/>
          </w:tcPr>
          <w:p w14:paraId="7DBBA358" w14:textId="77777777" w:rsidR="00BD4D02" w:rsidRPr="00BD4D02" w:rsidRDefault="00BD4D02" w:rsidP="00BD4D02">
            <w:pPr>
              <w:rPr>
                <w:sz w:val="20"/>
                <w:szCs w:val="20"/>
              </w:rPr>
            </w:pPr>
          </w:p>
        </w:tc>
        <w:tc>
          <w:tcPr>
            <w:tcW w:w="663" w:type="dxa"/>
            <w:shd w:val="clear" w:color="auto" w:fill="auto"/>
            <w:noWrap/>
            <w:vAlign w:val="bottom"/>
            <w:hideMark/>
          </w:tcPr>
          <w:p w14:paraId="227650D8" w14:textId="77777777" w:rsidR="00BD4D02" w:rsidRPr="00BD4D02" w:rsidRDefault="00BD4D02" w:rsidP="00BD4D02">
            <w:pPr>
              <w:rPr>
                <w:sz w:val="20"/>
                <w:szCs w:val="20"/>
              </w:rPr>
            </w:pPr>
          </w:p>
        </w:tc>
        <w:tc>
          <w:tcPr>
            <w:tcW w:w="663" w:type="dxa"/>
            <w:shd w:val="clear" w:color="auto" w:fill="auto"/>
            <w:noWrap/>
            <w:vAlign w:val="bottom"/>
            <w:hideMark/>
          </w:tcPr>
          <w:p w14:paraId="30083B46" w14:textId="77777777" w:rsidR="00BD4D02" w:rsidRPr="00BD4D02" w:rsidRDefault="00BD4D02" w:rsidP="00BD4D02">
            <w:pPr>
              <w:rPr>
                <w:sz w:val="20"/>
                <w:szCs w:val="20"/>
              </w:rPr>
            </w:pPr>
          </w:p>
        </w:tc>
        <w:tc>
          <w:tcPr>
            <w:tcW w:w="663" w:type="dxa"/>
            <w:shd w:val="clear" w:color="auto" w:fill="auto"/>
            <w:noWrap/>
            <w:vAlign w:val="bottom"/>
            <w:hideMark/>
          </w:tcPr>
          <w:p w14:paraId="46D6A6E0" w14:textId="77777777" w:rsidR="00BD4D02" w:rsidRPr="00BD4D02" w:rsidRDefault="00BD4D02" w:rsidP="00BD4D02">
            <w:pPr>
              <w:rPr>
                <w:sz w:val="20"/>
                <w:szCs w:val="20"/>
              </w:rPr>
            </w:pPr>
          </w:p>
        </w:tc>
        <w:tc>
          <w:tcPr>
            <w:tcW w:w="663" w:type="dxa"/>
            <w:shd w:val="clear" w:color="auto" w:fill="auto"/>
            <w:noWrap/>
            <w:vAlign w:val="bottom"/>
            <w:hideMark/>
          </w:tcPr>
          <w:p w14:paraId="33CCACED" w14:textId="77777777" w:rsidR="00BD4D02" w:rsidRPr="00BD4D02" w:rsidRDefault="00BD4D02" w:rsidP="00BD4D02">
            <w:pPr>
              <w:rPr>
                <w:sz w:val="20"/>
                <w:szCs w:val="20"/>
              </w:rPr>
            </w:pPr>
          </w:p>
        </w:tc>
        <w:tc>
          <w:tcPr>
            <w:tcW w:w="663" w:type="dxa"/>
            <w:shd w:val="clear" w:color="auto" w:fill="auto"/>
            <w:noWrap/>
            <w:vAlign w:val="bottom"/>
            <w:hideMark/>
          </w:tcPr>
          <w:p w14:paraId="4E12D9DC" w14:textId="77777777" w:rsidR="00BD4D02" w:rsidRPr="00BD4D02" w:rsidRDefault="00BD4D02" w:rsidP="00BD4D02">
            <w:pPr>
              <w:rPr>
                <w:sz w:val="20"/>
                <w:szCs w:val="20"/>
              </w:rPr>
            </w:pPr>
          </w:p>
        </w:tc>
        <w:tc>
          <w:tcPr>
            <w:tcW w:w="663" w:type="dxa"/>
            <w:shd w:val="clear" w:color="auto" w:fill="auto"/>
            <w:noWrap/>
            <w:vAlign w:val="bottom"/>
            <w:hideMark/>
          </w:tcPr>
          <w:p w14:paraId="443CBDFD" w14:textId="77777777" w:rsidR="00BD4D02" w:rsidRPr="00BD4D02" w:rsidRDefault="00BD4D02" w:rsidP="00BD4D02">
            <w:pPr>
              <w:rPr>
                <w:sz w:val="20"/>
                <w:szCs w:val="20"/>
              </w:rPr>
            </w:pPr>
          </w:p>
        </w:tc>
        <w:tc>
          <w:tcPr>
            <w:tcW w:w="663" w:type="dxa"/>
            <w:shd w:val="clear" w:color="auto" w:fill="auto"/>
            <w:noWrap/>
            <w:vAlign w:val="bottom"/>
            <w:hideMark/>
          </w:tcPr>
          <w:p w14:paraId="6951706B"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1180" w:type="dxa"/>
            <w:shd w:val="clear" w:color="auto" w:fill="auto"/>
            <w:noWrap/>
            <w:vAlign w:val="bottom"/>
            <w:hideMark/>
          </w:tcPr>
          <w:p w14:paraId="7452AD15"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42FF0B53" w14:textId="77777777" w:rsidTr="00050580">
        <w:trPr>
          <w:trHeight w:val="144"/>
        </w:trPr>
        <w:tc>
          <w:tcPr>
            <w:tcW w:w="4500" w:type="dxa"/>
            <w:shd w:val="clear" w:color="auto" w:fill="auto"/>
            <w:noWrap/>
            <w:vAlign w:val="bottom"/>
            <w:hideMark/>
          </w:tcPr>
          <w:p w14:paraId="4595B56F"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Broadband - fixed - connections</w:t>
            </w:r>
          </w:p>
        </w:tc>
        <w:tc>
          <w:tcPr>
            <w:tcW w:w="770" w:type="dxa"/>
            <w:shd w:val="clear" w:color="auto" w:fill="auto"/>
            <w:noWrap/>
            <w:vAlign w:val="bottom"/>
            <w:hideMark/>
          </w:tcPr>
          <w:p w14:paraId="1B5E5046"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0C3A44F4" w14:textId="77777777" w:rsidR="00BD4D02" w:rsidRPr="00BD4D02" w:rsidRDefault="00BD4D02" w:rsidP="00BD4D02">
            <w:pPr>
              <w:rPr>
                <w:sz w:val="20"/>
                <w:szCs w:val="20"/>
              </w:rPr>
            </w:pPr>
          </w:p>
        </w:tc>
        <w:tc>
          <w:tcPr>
            <w:tcW w:w="663" w:type="dxa"/>
            <w:shd w:val="clear" w:color="auto" w:fill="auto"/>
            <w:noWrap/>
            <w:vAlign w:val="bottom"/>
            <w:hideMark/>
          </w:tcPr>
          <w:p w14:paraId="32740EF8"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296F2121"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2756AB15" w14:textId="77777777" w:rsidR="00BD4D02" w:rsidRPr="00BD4D02" w:rsidRDefault="00BD4D02" w:rsidP="00BD4D02">
            <w:pPr>
              <w:rPr>
                <w:sz w:val="20"/>
                <w:szCs w:val="20"/>
              </w:rPr>
            </w:pPr>
          </w:p>
        </w:tc>
        <w:tc>
          <w:tcPr>
            <w:tcW w:w="663" w:type="dxa"/>
            <w:shd w:val="clear" w:color="auto" w:fill="auto"/>
            <w:noWrap/>
            <w:vAlign w:val="bottom"/>
            <w:hideMark/>
          </w:tcPr>
          <w:p w14:paraId="42EE1208" w14:textId="77777777" w:rsidR="00BD4D02" w:rsidRPr="00BD4D02" w:rsidRDefault="00BD4D02" w:rsidP="00BD4D02">
            <w:pPr>
              <w:rPr>
                <w:sz w:val="20"/>
                <w:szCs w:val="20"/>
              </w:rPr>
            </w:pPr>
          </w:p>
        </w:tc>
        <w:tc>
          <w:tcPr>
            <w:tcW w:w="663" w:type="dxa"/>
            <w:shd w:val="clear" w:color="auto" w:fill="auto"/>
            <w:noWrap/>
            <w:vAlign w:val="bottom"/>
            <w:hideMark/>
          </w:tcPr>
          <w:p w14:paraId="423688BC" w14:textId="77777777" w:rsidR="00BD4D02" w:rsidRPr="00BD4D02" w:rsidRDefault="00BD4D02" w:rsidP="00BD4D02">
            <w:pPr>
              <w:rPr>
                <w:sz w:val="20"/>
                <w:szCs w:val="20"/>
              </w:rPr>
            </w:pPr>
          </w:p>
        </w:tc>
        <w:tc>
          <w:tcPr>
            <w:tcW w:w="663" w:type="dxa"/>
            <w:shd w:val="clear" w:color="auto" w:fill="auto"/>
            <w:noWrap/>
            <w:vAlign w:val="bottom"/>
            <w:hideMark/>
          </w:tcPr>
          <w:p w14:paraId="4128673E" w14:textId="77777777" w:rsidR="00BD4D02" w:rsidRPr="00BD4D02" w:rsidRDefault="00BD4D02" w:rsidP="00BD4D02">
            <w:pPr>
              <w:rPr>
                <w:sz w:val="20"/>
                <w:szCs w:val="20"/>
              </w:rPr>
            </w:pPr>
          </w:p>
        </w:tc>
        <w:tc>
          <w:tcPr>
            <w:tcW w:w="663" w:type="dxa"/>
            <w:shd w:val="clear" w:color="auto" w:fill="auto"/>
            <w:noWrap/>
            <w:vAlign w:val="bottom"/>
            <w:hideMark/>
          </w:tcPr>
          <w:p w14:paraId="460D9249" w14:textId="77777777" w:rsidR="00BD4D02" w:rsidRPr="00BD4D02" w:rsidRDefault="00BD4D02" w:rsidP="00BD4D02">
            <w:pPr>
              <w:rPr>
                <w:sz w:val="20"/>
                <w:szCs w:val="20"/>
              </w:rPr>
            </w:pPr>
          </w:p>
        </w:tc>
        <w:tc>
          <w:tcPr>
            <w:tcW w:w="663" w:type="dxa"/>
            <w:shd w:val="clear" w:color="auto" w:fill="auto"/>
            <w:noWrap/>
            <w:vAlign w:val="bottom"/>
            <w:hideMark/>
          </w:tcPr>
          <w:p w14:paraId="11B1CF6B" w14:textId="77777777" w:rsidR="00BD4D02" w:rsidRPr="00BD4D02" w:rsidRDefault="00BD4D02" w:rsidP="00BD4D02">
            <w:pPr>
              <w:rPr>
                <w:sz w:val="20"/>
                <w:szCs w:val="20"/>
              </w:rPr>
            </w:pPr>
          </w:p>
        </w:tc>
        <w:tc>
          <w:tcPr>
            <w:tcW w:w="663" w:type="dxa"/>
            <w:shd w:val="clear" w:color="auto" w:fill="auto"/>
            <w:noWrap/>
            <w:vAlign w:val="bottom"/>
            <w:hideMark/>
          </w:tcPr>
          <w:p w14:paraId="6D6EE7A0" w14:textId="77777777" w:rsidR="00BD4D02" w:rsidRPr="00BD4D02" w:rsidRDefault="00BD4D02" w:rsidP="00BD4D02">
            <w:pPr>
              <w:rPr>
                <w:sz w:val="20"/>
                <w:szCs w:val="20"/>
              </w:rPr>
            </w:pPr>
          </w:p>
        </w:tc>
        <w:tc>
          <w:tcPr>
            <w:tcW w:w="663" w:type="dxa"/>
            <w:shd w:val="clear" w:color="auto" w:fill="auto"/>
            <w:noWrap/>
            <w:vAlign w:val="bottom"/>
            <w:hideMark/>
          </w:tcPr>
          <w:p w14:paraId="52B8E853" w14:textId="77777777" w:rsidR="00BD4D02" w:rsidRPr="00BD4D02" w:rsidRDefault="00BD4D02" w:rsidP="00BD4D02">
            <w:pPr>
              <w:rPr>
                <w:sz w:val="20"/>
                <w:szCs w:val="20"/>
              </w:rPr>
            </w:pPr>
          </w:p>
        </w:tc>
        <w:tc>
          <w:tcPr>
            <w:tcW w:w="1180" w:type="dxa"/>
            <w:shd w:val="clear" w:color="auto" w:fill="auto"/>
            <w:noWrap/>
            <w:vAlign w:val="bottom"/>
            <w:hideMark/>
          </w:tcPr>
          <w:p w14:paraId="1AB59418"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6A9FAB54" w14:textId="77777777" w:rsidTr="00050580">
        <w:trPr>
          <w:trHeight w:val="144"/>
        </w:trPr>
        <w:tc>
          <w:tcPr>
            <w:tcW w:w="4500" w:type="dxa"/>
            <w:shd w:val="clear" w:color="auto" w:fill="auto"/>
            <w:noWrap/>
            <w:vAlign w:val="bottom"/>
            <w:hideMark/>
          </w:tcPr>
          <w:p w14:paraId="4D62483E"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Broadband - fixed - speeds</w:t>
            </w:r>
          </w:p>
        </w:tc>
        <w:tc>
          <w:tcPr>
            <w:tcW w:w="770" w:type="dxa"/>
            <w:shd w:val="clear" w:color="auto" w:fill="auto"/>
            <w:noWrap/>
            <w:vAlign w:val="bottom"/>
            <w:hideMark/>
          </w:tcPr>
          <w:p w14:paraId="4E7A4B3D"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44A53F66" w14:textId="77777777" w:rsidR="00BD4D02" w:rsidRPr="00BD4D02" w:rsidRDefault="00BD4D02" w:rsidP="00BD4D02">
            <w:pPr>
              <w:rPr>
                <w:sz w:val="20"/>
                <w:szCs w:val="20"/>
              </w:rPr>
            </w:pPr>
          </w:p>
        </w:tc>
        <w:tc>
          <w:tcPr>
            <w:tcW w:w="663" w:type="dxa"/>
            <w:shd w:val="clear" w:color="auto" w:fill="auto"/>
            <w:noWrap/>
            <w:vAlign w:val="bottom"/>
            <w:hideMark/>
          </w:tcPr>
          <w:p w14:paraId="127DF689" w14:textId="77777777" w:rsidR="00BD4D02" w:rsidRPr="00BD4D02" w:rsidRDefault="00BD4D02" w:rsidP="00BD4D02">
            <w:pPr>
              <w:rPr>
                <w:sz w:val="20"/>
                <w:szCs w:val="20"/>
              </w:rPr>
            </w:pPr>
          </w:p>
        </w:tc>
        <w:tc>
          <w:tcPr>
            <w:tcW w:w="663" w:type="dxa"/>
            <w:shd w:val="clear" w:color="auto" w:fill="auto"/>
            <w:noWrap/>
            <w:vAlign w:val="bottom"/>
            <w:hideMark/>
          </w:tcPr>
          <w:p w14:paraId="0567AE6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75997316"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1AE10782"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45E9CB16" w14:textId="77777777" w:rsidR="00BD4D02" w:rsidRPr="00BD4D02" w:rsidRDefault="00BD4D02" w:rsidP="00BD4D02">
            <w:pPr>
              <w:rPr>
                <w:sz w:val="20"/>
                <w:szCs w:val="20"/>
              </w:rPr>
            </w:pPr>
          </w:p>
        </w:tc>
        <w:tc>
          <w:tcPr>
            <w:tcW w:w="663" w:type="dxa"/>
            <w:shd w:val="clear" w:color="auto" w:fill="auto"/>
            <w:noWrap/>
            <w:vAlign w:val="bottom"/>
            <w:hideMark/>
          </w:tcPr>
          <w:p w14:paraId="3520E20F" w14:textId="77777777" w:rsidR="00BD4D02" w:rsidRPr="00BD4D02" w:rsidRDefault="00BD4D02" w:rsidP="00BD4D02">
            <w:pPr>
              <w:rPr>
                <w:sz w:val="20"/>
                <w:szCs w:val="20"/>
              </w:rPr>
            </w:pPr>
          </w:p>
        </w:tc>
        <w:tc>
          <w:tcPr>
            <w:tcW w:w="663" w:type="dxa"/>
            <w:shd w:val="clear" w:color="auto" w:fill="auto"/>
            <w:noWrap/>
            <w:vAlign w:val="bottom"/>
            <w:hideMark/>
          </w:tcPr>
          <w:p w14:paraId="498D35D6" w14:textId="77777777" w:rsidR="00BD4D02" w:rsidRPr="00BD4D02" w:rsidRDefault="00BD4D02" w:rsidP="00BD4D02">
            <w:pPr>
              <w:rPr>
                <w:sz w:val="20"/>
                <w:szCs w:val="20"/>
              </w:rPr>
            </w:pPr>
          </w:p>
        </w:tc>
        <w:tc>
          <w:tcPr>
            <w:tcW w:w="663" w:type="dxa"/>
            <w:shd w:val="clear" w:color="auto" w:fill="auto"/>
            <w:noWrap/>
            <w:vAlign w:val="bottom"/>
            <w:hideMark/>
          </w:tcPr>
          <w:p w14:paraId="49572B28" w14:textId="77777777" w:rsidR="00BD4D02" w:rsidRPr="00BD4D02" w:rsidRDefault="00BD4D02" w:rsidP="00BD4D02">
            <w:pPr>
              <w:rPr>
                <w:sz w:val="20"/>
                <w:szCs w:val="20"/>
              </w:rPr>
            </w:pPr>
          </w:p>
        </w:tc>
        <w:tc>
          <w:tcPr>
            <w:tcW w:w="663" w:type="dxa"/>
            <w:shd w:val="clear" w:color="auto" w:fill="auto"/>
            <w:noWrap/>
            <w:vAlign w:val="bottom"/>
            <w:hideMark/>
          </w:tcPr>
          <w:p w14:paraId="301F8442" w14:textId="77777777" w:rsidR="00BD4D02" w:rsidRPr="00BD4D02" w:rsidRDefault="00BD4D02" w:rsidP="00BD4D02">
            <w:pPr>
              <w:rPr>
                <w:sz w:val="20"/>
                <w:szCs w:val="20"/>
              </w:rPr>
            </w:pPr>
          </w:p>
        </w:tc>
        <w:tc>
          <w:tcPr>
            <w:tcW w:w="663" w:type="dxa"/>
            <w:shd w:val="clear" w:color="auto" w:fill="auto"/>
            <w:noWrap/>
            <w:vAlign w:val="bottom"/>
            <w:hideMark/>
          </w:tcPr>
          <w:p w14:paraId="4421B2F1" w14:textId="77777777" w:rsidR="00BD4D02" w:rsidRPr="00BD4D02" w:rsidRDefault="00BD4D02" w:rsidP="00BD4D02">
            <w:pPr>
              <w:rPr>
                <w:sz w:val="20"/>
                <w:szCs w:val="20"/>
              </w:rPr>
            </w:pPr>
          </w:p>
        </w:tc>
        <w:tc>
          <w:tcPr>
            <w:tcW w:w="1180" w:type="dxa"/>
            <w:shd w:val="clear" w:color="auto" w:fill="auto"/>
            <w:noWrap/>
            <w:vAlign w:val="bottom"/>
            <w:hideMark/>
          </w:tcPr>
          <w:p w14:paraId="5BDA8EA8"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4</w:t>
            </w:r>
          </w:p>
        </w:tc>
      </w:tr>
      <w:tr w:rsidR="00BD4D02" w:rsidRPr="00BD4D02" w14:paraId="2729D88D" w14:textId="77777777" w:rsidTr="00050580">
        <w:trPr>
          <w:trHeight w:val="144"/>
        </w:trPr>
        <w:tc>
          <w:tcPr>
            <w:tcW w:w="4500" w:type="dxa"/>
            <w:shd w:val="clear" w:color="auto" w:fill="auto"/>
            <w:noWrap/>
            <w:vAlign w:val="bottom"/>
            <w:hideMark/>
          </w:tcPr>
          <w:p w14:paraId="0A7CAFBA"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Broadband - fixed, mobile</w:t>
            </w:r>
          </w:p>
        </w:tc>
        <w:tc>
          <w:tcPr>
            <w:tcW w:w="770" w:type="dxa"/>
            <w:shd w:val="clear" w:color="auto" w:fill="auto"/>
            <w:noWrap/>
            <w:vAlign w:val="bottom"/>
            <w:hideMark/>
          </w:tcPr>
          <w:p w14:paraId="6C6E2FDC"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5A2EFB17" w14:textId="77777777" w:rsidR="00BD4D02" w:rsidRPr="00BD4D02" w:rsidRDefault="00BD4D02" w:rsidP="00BD4D02">
            <w:pPr>
              <w:rPr>
                <w:sz w:val="20"/>
                <w:szCs w:val="20"/>
              </w:rPr>
            </w:pPr>
          </w:p>
        </w:tc>
        <w:tc>
          <w:tcPr>
            <w:tcW w:w="663" w:type="dxa"/>
            <w:shd w:val="clear" w:color="auto" w:fill="auto"/>
            <w:noWrap/>
            <w:vAlign w:val="bottom"/>
            <w:hideMark/>
          </w:tcPr>
          <w:p w14:paraId="5763780C" w14:textId="77777777" w:rsidR="00BD4D02" w:rsidRPr="00BD4D02" w:rsidRDefault="00BD4D02" w:rsidP="00BD4D02">
            <w:pPr>
              <w:rPr>
                <w:sz w:val="20"/>
                <w:szCs w:val="20"/>
              </w:rPr>
            </w:pPr>
          </w:p>
        </w:tc>
        <w:tc>
          <w:tcPr>
            <w:tcW w:w="663" w:type="dxa"/>
            <w:shd w:val="clear" w:color="auto" w:fill="auto"/>
            <w:noWrap/>
            <w:vAlign w:val="bottom"/>
            <w:hideMark/>
          </w:tcPr>
          <w:p w14:paraId="1E014445" w14:textId="77777777" w:rsidR="00BD4D02" w:rsidRPr="00BD4D02" w:rsidRDefault="00BD4D02" w:rsidP="00BD4D02">
            <w:pPr>
              <w:rPr>
                <w:sz w:val="20"/>
                <w:szCs w:val="20"/>
              </w:rPr>
            </w:pPr>
          </w:p>
        </w:tc>
        <w:tc>
          <w:tcPr>
            <w:tcW w:w="663" w:type="dxa"/>
            <w:shd w:val="clear" w:color="auto" w:fill="auto"/>
            <w:noWrap/>
            <w:vAlign w:val="bottom"/>
            <w:hideMark/>
          </w:tcPr>
          <w:p w14:paraId="31A4D1BA" w14:textId="77777777" w:rsidR="00BD4D02" w:rsidRPr="00BD4D02" w:rsidRDefault="00BD4D02" w:rsidP="00BD4D02">
            <w:pPr>
              <w:rPr>
                <w:sz w:val="20"/>
                <w:szCs w:val="20"/>
              </w:rPr>
            </w:pPr>
          </w:p>
        </w:tc>
        <w:tc>
          <w:tcPr>
            <w:tcW w:w="663" w:type="dxa"/>
            <w:shd w:val="clear" w:color="auto" w:fill="auto"/>
            <w:noWrap/>
            <w:vAlign w:val="bottom"/>
            <w:hideMark/>
          </w:tcPr>
          <w:p w14:paraId="1B0E8B10" w14:textId="77777777" w:rsidR="00BD4D02" w:rsidRPr="00BD4D02" w:rsidRDefault="00BD4D02" w:rsidP="00BD4D02">
            <w:pPr>
              <w:rPr>
                <w:sz w:val="20"/>
                <w:szCs w:val="20"/>
              </w:rPr>
            </w:pPr>
          </w:p>
        </w:tc>
        <w:tc>
          <w:tcPr>
            <w:tcW w:w="663" w:type="dxa"/>
            <w:shd w:val="clear" w:color="auto" w:fill="auto"/>
            <w:noWrap/>
            <w:vAlign w:val="bottom"/>
            <w:hideMark/>
          </w:tcPr>
          <w:p w14:paraId="17F9AB06"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6022C039"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303529A4" w14:textId="77777777" w:rsidR="00BD4D02" w:rsidRPr="00BD4D02" w:rsidRDefault="00BD4D02" w:rsidP="00BD4D02">
            <w:pPr>
              <w:rPr>
                <w:sz w:val="20"/>
                <w:szCs w:val="20"/>
              </w:rPr>
            </w:pPr>
          </w:p>
        </w:tc>
        <w:tc>
          <w:tcPr>
            <w:tcW w:w="663" w:type="dxa"/>
            <w:shd w:val="clear" w:color="auto" w:fill="auto"/>
            <w:noWrap/>
            <w:vAlign w:val="bottom"/>
            <w:hideMark/>
          </w:tcPr>
          <w:p w14:paraId="028B57BE" w14:textId="77777777" w:rsidR="00BD4D02" w:rsidRPr="00BD4D02" w:rsidRDefault="00BD4D02" w:rsidP="00BD4D02">
            <w:pPr>
              <w:rPr>
                <w:sz w:val="20"/>
                <w:szCs w:val="20"/>
              </w:rPr>
            </w:pPr>
          </w:p>
        </w:tc>
        <w:tc>
          <w:tcPr>
            <w:tcW w:w="663" w:type="dxa"/>
            <w:shd w:val="clear" w:color="auto" w:fill="auto"/>
            <w:noWrap/>
            <w:vAlign w:val="bottom"/>
            <w:hideMark/>
          </w:tcPr>
          <w:p w14:paraId="36B1BB5D" w14:textId="77777777" w:rsidR="00BD4D02" w:rsidRPr="00BD4D02" w:rsidRDefault="00BD4D02" w:rsidP="00BD4D02">
            <w:pPr>
              <w:rPr>
                <w:sz w:val="20"/>
                <w:szCs w:val="20"/>
              </w:rPr>
            </w:pPr>
          </w:p>
        </w:tc>
        <w:tc>
          <w:tcPr>
            <w:tcW w:w="663" w:type="dxa"/>
            <w:shd w:val="clear" w:color="auto" w:fill="auto"/>
            <w:noWrap/>
            <w:vAlign w:val="bottom"/>
            <w:hideMark/>
          </w:tcPr>
          <w:p w14:paraId="5B6DA020" w14:textId="77777777" w:rsidR="00BD4D02" w:rsidRPr="00BD4D02" w:rsidRDefault="00BD4D02" w:rsidP="00BD4D02">
            <w:pPr>
              <w:rPr>
                <w:sz w:val="20"/>
                <w:szCs w:val="20"/>
              </w:rPr>
            </w:pPr>
          </w:p>
        </w:tc>
        <w:tc>
          <w:tcPr>
            <w:tcW w:w="1180" w:type="dxa"/>
            <w:shd w:val="clear" w:color="auto" w:fill="auto"/>
            <w:noWrap/>
            <w:vAlign w:val="bottom"/>
            <w:hideMark/>
          </w:tcPr>
          <w:p w14:paraId="17A4C518"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35C34050" w14:textId="77777777" w:rsidTr="00050580">
        <w:trPr>
          <w:trHeight w:val="144"/>
        </w:trPr>
        <w:tc>
          <w:tcPr>
            <w:tcW w:w="4500" w:type="dxa"/>
            <w:shd w:val="clear" w:color="auto" w:fill="auto"/>
            <w:noWrap/>
            <w:vAlign w:val="bottom"/>
            <w:hideMark/>
          </w:tcPr>
          <w:p w14:paraId="0B6560DC"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Broadband - households</w:t>
            </w:r>
          </w:p>
        </w:tc>
        <w:tc>
          <w:tcPr>
            <w:tcW w:w="770" w:type="dxa"/>
            <w:shd w:val="clear" w:color="auto" w:fill="auto"/>
            <w:noWrap/>
            <w:vAlign w:val="bottom"/>
            <w:hideMark/>
          </w:tcPr>
          <w:p w14:paraId="4B417DE9"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2A883102" w14:textId="77777777" w:rsidR="00BD4D02" w:rsidRPr="00BD4D02" w:rsidRDefault="00BD4D02" w:rsidP="00BD4D02">
            <w:pPr>
              <w:rPr>
                <w:sz w:val="20"/>
                <w:szCs w:val="20"/>
              </w:rPr>
            </w:pPr>
          </w:p>
        </w:tc>
        <w:tc>
          <w:tcPr>
            <w:tcW w:w="663" w:type="dxa"/>
            <w:shd w:val="clear" w:color="auto" w:fill="auto"/>
            <w:noWrap/>
            <w:vAlign w:val="bottom"/>
            <w:hideMark/>
          </w:tcPr>
          <w:p w14:paraId="45CCD9A4"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5EC64018"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7695B88D"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68D5DF46"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6FE3698D"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0255405C" w14:textId="77777777" w:rsidR="00BD4D02" w:rsidRPr="00BD4D02" w:rsidRDefault="00BD4D02" w:rsidP="00BD4D02">
            <w:pPr>
              <w:rPr>
                <w:sz w:val="20"/>
                <w:szCs w:val="20"/>
              </w:rPr>
            </w:pPr>
          </w:p>
        </w:tc>
        <w:tc>
          <w:tcPr>
            <w:tcW w:w="663" w:type="dxa"/>
            <w:shd w:val="clear" w:color="auto" w:fill="auto"/>
            <w:noWrap/>
            <w:vAlign w:val="bottom"/>
            <w:hideMark/>
          </w:tcPr>
          <w:p w14:paraId="1B92BFE6" w14:textId="77777777" w:rsidR="00BD4D02" w:rsidRPr="00BD4D02" w:rsidRDefault="00BD4D02" w:rsidP="00BD4D02">
            <w:pPr>
              <w:rPr>
                <w:sz w:val="20"/>
                <w:szCs w:val="20"/>
              </w:rPr>
            </w:pPr>
          </w:p>
        </w:tc>
        <w:tc>
          <w:tcPr>
            <w:tcW w:w="663" w:type="dxa"/>
            <w:shd w:val="clear" w:color="auto" w:fill="auto"/>
            <w:noWrap/>
            <w:vAlign w:val="bottom"/>
            <w:hideMark/>
          </w:tcPr>
          <w:p w14:paraId="67D8900E" w14:textId="77777777" w:rsidR="00BD4D02" w:rsidRPr="00BD4D02" w:rsidRDefault="00BD4D02" w:rsidP="00BD4D02">
            <w:pPr>
              <w:rPr>
                <w:sz w:val="20"/>
                <w:szCs w:val="20"/>
              </w:rPr>
            </w:pPr>
          </w:p>
        </w:tc>
        <w:tc>
          <w:tcPr>
            <w:tcW w:w="663" w:type="dxa"/>
            <w:shd w:val="clear" w:color="auto" w:fill="auto"/>
            <w:noWrap/>
            <w:vAlign w:val="bottom"/>
            <w:hideMark/>
          </w:tcPr>
          <w:p w14:paraId="7A1B4E16" w14:textId="77777777" w:rsidR="00BD4D02" w:rsidRPr="00BD4D02" w:rsidRDefault="00BD4D02" w:rsidP="00BD4D02">
            <w:pPr>
              <w:rPr>
                <w:sz w:val="20"/>
                <w:szCs w:val="20"/>
              </w:rPr>
            </w:pPr>
          </w:p>
        </w:tc>
        <w:tc>
          <w:tcPr>
            <w:tcW w:w="663" w:type="dxa"/>
            <w:shd w:val="clear" w:color="auto" w:fill="auto"/>
            <w:noWrap/>
            <w:vAlign w:val="bottom"/>
            <w:hideMark/>
          </w:tcPr>
          <w:p w14:paraId="048F9C81" w14:textId="77777777" w:rsidR="00BD4D02" w:rsidRPr="00BD4D02" w:rsidRDefault="00BD4D02" w:rsidP="00BD4D02">
            <w:pPr>
              <w:rPr>
                <w:sz w:val="20"/>
                <w:szCs w:val="20"/>
              </w:rPr>
            </w:pPr>
          </w:p>
        </w:tc>
        <w:tc>
          <w:tcPr>
            <w:tcW w:w="1180" w:type="dxa"/>
            <w:shd w:val="clear" w:color="auto" w:fill="auto"/>
            <w:noWrap/>
            <w:vAlign w:val="bottom"/>
            <w:hideMark/>
          </w:tcPr>
          <w:p w14:paraId="1473B3BE"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4</w:t>
            </w:r>
          </w:p>
        </w:tc>
      </w:tr>
      <w:tr w:rsidR="00BD4D02" w:rsidRPr="00BD4D02" w14:paraId="2C96C847" w14:textId="77777777" w:rsidTr="00050580">
        <w:trPr>
          <w:trHeight w:val="144"/>
        </w:trPr>
        <w:tc>
          <w:tcPr>
            <w:tcW w:w="4500" w:type="dxa"/>
            <w:shd w:val="clear" w:color="auto" w:fill="auto"/>
            <w:noWrap/>
            <w:vAlign w:val="bottom"/>
            <w:hideMark/>
          </w:tcPr>
          <w:p w14:paraId="1E87110F"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Broadband - households - %</w:t>
            </w:r>
          </w:p>
        </w:tc>
        <w:tc>
          <w:tcPr>
            <w:tcW w:w="770" w:type="dxa"/>
            <w:shd w:val="clear" w:color="auto" w:fill="auto"/>
            <w:noWrap/>
            <w:vAlign w:val="bottom"/>
            <w:hideMark/>
          </w:tcPr>
          <w:p w14:paraId="3EA637AD"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09B2CFC7"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2BD9B64C"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5A33538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7E176A27"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635068C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1ECFA76E"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1F56EF58"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6528C847"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6898264E" w14:textId="77777777" w:rsidR="00BD4D02" w:rsidRPr="00BD4D02" w:rsidRDefault="00BD4D02" w:rsidP="00BD4D02">
            <w:pPr>
              <w:rPr>
                <w:sz w:val="20"/>
                <w:szCs w:val="20"/>
              </w:rPr>
            </w:pPr>
          </w:p>
        </w:tc>
        <w:tc>
          <w:tcPr>
            <w:tcW w:w="663" w:type="dxa"/>
            <w:shd w:val="clear" w:color="auto" w:fill="auto"/>
            <w:noWrap/>
            <w:vAlign w:val="bottom"/>
            <w:hideMark/>
          </w:tcPr>
          <w:p w14:paraId="3002685C" w14:textId="77777777" w:rsidR="00BD4D02" w:rsidRPr="00BD4D02" w:rsidRDefault="00BD4D02" w:rsidP="00BD4D02">
            <w:pPr>
              <w:rPr>
                <w:sz w:val="20"/>
                <w:szCs w:val="20"/>
              </w:rPr>
            </w:pPr>
          </w:p>
        </w:tc>
        <w:tc>
          <w:tcPr>
            <w:tcW w:w="663" w:type="dxa"/>
            <w:shd w:val="clear" w:color="auto" w:fill="auto"/>
            <w:noWrap/>
            <w:vAlign w:val="bottom"/>
            <w:hideMark/>
          </w:tcPr>
          <w:p w14:paraId="676A6C15" w14:textId="77777777" w:rsidR="00BD4D02" w:rsidRPr="00BD4D02" w:rsidRDefault="00BD4D02" w:rsidP="00BD4D02">
            <w:pPr>
              <w:rPr>
                <w:sz w:val="20"/>
                <w:szCs w:val="20"/>
              </w:rPr>
            </w:pPr>
          </w:p>
        </w:tc>
        <w:tc>
          <w:tcPr>
            <w:tcW w:w="1180" w:type="dxa"/>
            <w:shd w:val="clear" w:color="auto" w:fill="auto"/>
            <w:noWrap/>
            <w:vAlign w:val="bottom"/>
            <w:hideMark/>
          </w:tcPr>
          <w:p w14:paraId="78C15996"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8</w:t>
            </w:r>
          </w:p>
        </w:tc>
      </w:tr>
      <w:tr w:rsidR="00BD4D02" w:rsidRPr="00BD4D02" w14:paraId="4D3B3BB4" w14:textId="77777777" w:rsidTr="00050580">
        <w:trPr>
          <w:trHeight w:val="144"/>
        </w:trPr>
        <w:tc>
          <w:tcPr>
            <w:tcW w:w="4500" w:type="dxa"/>
            <w:shd w:val="clear" w:color="auto" w:fill="auto"/>
            <w:noWrap/>
            <w:vAlign w:val="bottom"/>
            <w:hideMark/>
          </w:tcPr>
          <w:p w14:paraId="2F8E1E24"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Broadband - mobile</w:t>
            </w:r>
          </w:p>
        </w:tc>
        <w:tc>
          <w:tcPr>
            <w:tcW w:w="770" w:type="dxa"/>
            <w:shd w:val="clear" w:color="auto" w:fill="auto"/>
            <w:noWrap/>
            <w:vAlign w:val="bottom"/>
            <w:hideMark/>
          </w:tcPr>
          <w:p w14:paraId="7A271674"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48955601" w14:textId="77777777" w:rsidR="00BD4D02" w:rsidRPr="00BD4D02" w:rsidRDefault="00BD4D02" w:rsidP="00BD4D02">
            <w:pPr>
              <w:rPr>
                <w:sz w:val="20"/>
                <w:szCs w:val="20"/>
              </w:rPr>
            </w:pPr>
          </w:p>
        </w:tc>
        <w:tc>
          <w:tcPr>
            <w:tcW w:w="663" w:type="dxa"/>
            <w:shd w:val="clear" w:color="auto" w:fill="auto"/>
            <w:noWrap/>
            <w:vAlign w:val="bottom"/>
            <w:hideMark/>
          </w:tcPr>
          <w:p w14:paraId="2411339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42F3F4ED"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24080B3B" w14:textId="77777777" w:rsidR="00BD4D02" w:rsidRPr="00BD4D02" w:rsidRDefault="00BD4D02" w:rsidP="00BD4D02">
            <w:pPr>
              <w:rPr>
                <w:sz w:val="20"/>
                <w:szCs w:val="20"/>
              </w:rPr>
            </w:pPr>
          </w:p>
        </w:tc>
        <w:tc>
          <w:tcPr>
            <w:tcW w:w="663" w:type="dxa"/>
            <w:shd w:val="clear" w:color="auto" w:fill="auto"/>
            <w:noWrap/>
            <w:vAlign w:val="bottom"/>
            <w:hideMark/>
          </w:tcPr>
          <w:p w14:paraId="63A395D2" w14:textId="77777777" w:rsidR="00BD4D02" w:rsidRPr="00BD4D02" w:rsidRDefault="00BD4D02" w:rsidP="00BD4D02">
            <w:pPr>
              <w:rPr>
                <w:sz w:val="20"/>
                <w:szCs w:val="20"/>
              </w:rPr>
            </w:pPr>
          </w:p>
        </w:tc>
        <w:tc>
          <w:tcPr>
            <w:tcW w:w="663" w:type="dxa"/>
            <w:shd w:val="clear" w:color="auto" w:fill="auto"/>
            <w:noWrap/>
            <w:vAlign w:val="bottom"/>
            <w:hideMark/>
          </w:tcPr>
          <w:p w14:paraId="15B78CC2" w14:textId="77777777" w:rsidR="00BD4D02" w:rsidRPr="00BD4D02" w:rsidRDefault="00BD4D02" w:rsidP="00BD4D02">
            <w:pPr>
              <w:rPr>
                <w:sz w:val="20"/>
                <w:szCs w:val="20"/>
              </w:rPr>
            </w:pPr>
          </w:p>
        </w:tc>
        <w:tc>
          <w:tcPr>
            <w:tcW w:w="663" w:type="dxa"/>
            <w:shd w:val="clear" w:color="auto" w:fill="auto"/>
            <w:noWrap/>
            <w:vAlign w:val="bottom"/>
            <w:hideMark/>
          </w:tcPr>
          <w:p w14:paraId="3D9F9E6E" w14:textId="77777777" w:rsidR="00BD4D02" w:rsidRPr="00BD4D02" w:rsidRDefault="00BD4D02" w:rsidP="00BD4D02">
            <w:pPr>
              <w:rPr>
                <w:sz w:val="20"/>
                <w:szCs w:val="20"/>
              </w:rPr>
            </w:pPr>
          </w:p>
        </w:tc>
        <w:tc>
          <w:tcPr>
            <w:tcW w:w="663" w:type="dxa"/>
            <w:shd w:val="clear" w:color="auto" w:fill="auto"/>
            <w:noWrap/>
            <w:vAlign w:val="bottom"/>
            <w:hideMark/>
          </w:tcPr>
          <w:p w14:paraId="2F8DC564" w14:textId="77777777" w:rsidR="00BD4D02" w:rsidRPr="00BD4D02" w:rsidRDefault="00BD4D02" w:rsidP="00BD4D02">
            <w:pPr>
              <w:rPr>
                <w:sz w:val="20"/>
                <w:szCs w:val="20"/>
              </w:rPr>
            </w:pPr>
          </w:p>
        </w:tc>
        <w:tc>
          <w:tcPr>
            <w:tcW w:w="663" w:type="dxa"/>
            <w:shd w:val="clear" w:color="auto" w:fill="auto"/>
            <w:noWrap/>
            <w:vAlign w:val="bottom"/>
            <w:hideMark/>
          </w:tcPr>
          <w:p w14:paraId="6CDA6897" w14:textId="77777777" w:rsidR="00BD4D02" w:rsidRPr="00BD4D02" w:rsidRDefault="00BD4D02" w:rsidP="00BD4D02">
            <w:pPr>
              <w:rPr>
                <w:sz w:val="20"/>
                <w:szCs w:val="20"/>
              </w:rPr>
            </w:pPr>
          </w:p>
        </w:tc>
        <w:tc>
          <w:tcPr>
            <w:tcW w:w="663" w:type="dxa"/>
            <w:shd w:val="clear" w:color="auto" w:fill="auto"/>
            <w:noWrap/>
            <w:vAlign w:val="bottom"/>
            <w:hideMark/>
          </w:tcPr>
          <w:p w14:paraId="11EB4BD7" w14:textId="77777777" w:rsidR="00BD4D02" w:rsidRPr="00BD4D02" w:rsidRDefault="00BD4D02" w:rsidP="00BD4D02">
            <w:pPr>
              <w:rPr>
                <w:sz w:val="20"/>
                <w:szCs w:val="20"/>
              </w:rPr>
            </w:pPr>
          </w:p>
        </w:tc>
        <w:tc>
          <w:tcPr>
            <w:tcW w:w="663" w:type="dxa"/>
            <w:shd w:val="clear" w:color="auto" w:fill="auto"/>
            <w:noWrap/>
            <w:vAlign w:val="bottom"/>
            <w:hideMark/>
          </w:tcPr>
          <w:p w14:paraId="0AC928A3" w14:textId="77777777" w:rsidR="00BD4D02" w:rsidRPr="00BD4D02" w:rsidRDefault="00BD4D02" w:rsidP="00BD4D02">
            <w:pPr>
              <w:rPr>
                <w:sz w:val="20"/>
                <w:szCs w:val="20"/>
              </w:rPr>
            </w:pPr>
          </w:p>
        </w:tc>
        <w:tc>
          <w:tcPr>
            <w:tcW w:w="1180" w:type="dxa"/>
            <w:shd w:val="clear" w:color="auto" w:fill="auto"/>
            <w:noWrap/>
            <w:vAlign w:val="bottom"/>
            <w:hideMark/>
          </w:tcPr>
          <w:p w14:paraId="6228AB29"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2B2606A3" w14:textId="77777777" w:rsidTr="00050580">
        <w:trPr>
          <w:trHeight w:val="144"/>
        </w:trPr>
        <w:tc>
          <w:tcPr>
            <w:tcW w:w="4500" w:type="dxa"/>
            <w:shd w:val="clear" w:color="auto" w:fill="auto"/>
            <w:noWrap/>
            <w:vAlign w:val="bottom"/>
            <w:hideMark/>
          </w:tcPr>
          <w:p w14:paraId="746E533C"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Broadband - speed</w:t>
            </w:r>
          </w:p>
        </w:tc>
        <w:tc>
          <w:tcPr>
            <w:tcW w:w="770" w:type="dxa"/>
            <w:shd w:val="clear" w:color="auto" w:fill="auto"/>
            <w:noWrap/>
            <w:vAlign w:val="bottom"/>
            <w:hideMark/>
          </w:tcPr>
          <w:p w14:paraId="477C25C0"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00C10175" w14:textId="77777777" w:rsidR="00BD4D02" w:rsidRPr="00BD4D02" w:rsidRDefault="00BD4D02" w:rsidP="00BD4D02">
            <w:pPr>
              <w:rPr>
                <w:sz w:val="20"/>
                <w:szCs w:val="20"/>
              </w:rPr>
            </w:pPr>
          </w:p>
        </w:tc>
        <w:tc>
          <w:tcPr>
            <w:tcW w:w="663" w:type="dxa"/>
            <w:shd w:val="clear" w:color="auto" w:fill="auto"/>
            <w:noWrap/>
            <w:vAlign w:val="bottom"/>
            <w:hideMark/>
          </w:tcPr>
          <w:p w14:paraId="07619CA8"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46C38085"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55264917"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w:t>
            </w:r>
          </w:p>
        </w:tc>
        <w:tc>
          <w:tcPr>
            <w:tcW w:w="663" w:type="dxa"/>
            <w:shd w:val="clear" w:color="auto" w:fill="auto"/>
            <w:noWrap/>
            <w:vAlign w:val="bottom"/>
            <w:hideMark/>
          </w:tcPr>
          <w:p w14:paraId="38CEE68D"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5</w:t>
            </w:r>
          </w:p>
        </w:tc>
        <w:tc>
          <w:tcPr>
            <w:tcW w:w="663" w:type="dxa"/>
            <w:shd w:val="clear" w:color="auto" w:fill="auto"/>
            <w:noWrap/>
            <w:vAlign w:val="bottom"/>
            <w:hideMark/>
          </w:tcPr>
          <w:p w14:paraId="746F77FA"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5</w:t>
            </w:r>
          </w:p>
        </w:tc>
        <w:tc>
          <w:tcPr>
            <w:tcW w:w="663" w:type="dxa"/>
            <w:shd w:val="clear" w:color="auto" w:fill="auto"/>
            <w:noWrap/>
            <w:vAlign w:val="bottom"/>
            <w:hideMark/>
          </w:tcPr>
          <w:p w14:paraId="735A99F8"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4</w:t>
            </w:r>
          </w:p>
        </w:tc>
        <w:tc>
          <w:tcPr>
            <w:tcW w:w="663" w:type="dxa"/>
            <w:shd w:val="clear" w:color="auto" w:fill="auto"/>
            <w:noWrap/>
            <w:vAlign w:val="bottom"/>
            <w:hideMark/>
          </w:tcPr>
          <w:p w14:paraId="75D1AB83"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w:t>
            </w:r>
          </w:p>
        </w:tc>
        <w:tc>
          <w:tcPr>
            <w:tcW w:w="663" w:type="dxa"/>
            <w:shd w:val="clear" w:color="auto" w:fill="auto"/>
            <w:noWrap/>
            <w:vAlign w:val="bottom"/>
            <w:hideMark/>
          </w:tcPr>
          <w:p w14:paraId="07ADBA80"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w:t>
            </w:r>
          </w:p>
        </w:tc>
        <w:tc>
          <w:tcPr>
            <w:tcW w:w="663" w:type="dxa"/>
            <w:shd w:val="clear" w:color="auto" w:fill="auto"/>
            <w:noWrap/>
            <w:vAlign w:val="bottom"/>
            <w:hideMark/>
          </w:tcPr>
          <w:p w14:paraId="2ED8885C"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43F3EC5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4</w:t>
            </w:r>
          </w:p>
        </w:tc>
        <w:tc>
          <w:tcPr>
            <w:tcW w:w="1180" w:type="dxa"/>
            <w:shd w:val="clear" w:color="auto" w:fill="auto"/>
            <w:noWrap/>
            <w:vAlign w:val="bottom"/>
            <w:hideMark/>
          </w:tcPr>
          <w:p w14:paraId="7FBDB06B"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32</w:t>
            </w:r>
          </w:p>
        </w:tc>
      </w:tr>
      <w:tr w:rsidR="00BD4D02" w:rsidRPr="00BD4D02" w14:paraId="66D02C61" w14:textId="77777777" w:rsidTr="00050580">
        <w:trPr>
          <w:trHeight w:val="144"/>
        </w:trPr>
        <w:tc>
          <w:tcPr>
            <w:tcW w:w="4500" w:type="dxa"/>
            <w:shd w:val="clear" w:color="auto" w:fill="auto"/>
            <w:noWrap/>
            <w:vAlign w:val="bottom"/>
            <w:hideMark/>
          </w:tcPr>
          <w:p w14:paraId="6CD9682A"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Broadband - technology</w:t>
            </w:r>
          </w:p>
        </w:tc>
        <w:tc>
          <w:tcPr>
            <w:tcW w:w="770" w:type="dxa"/>
            <w:shd w:val="clear" w:color="auto" w:fill="auto"/>
            <w:noWrap/>
            <w:vAlign w:val="bottom"/>
            <w:hideMark/>
          </w:tcPr>
          <w:p w14:paraId="6B7E0200"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5C1FA5D2" w14:textId="77777777" w:rsidR="00BD4D02" w:rsidRPr="00BD4D02" w:rsidRDefault="00BD4D02" w:rsidP="00BD4D02">
            <w:pPr>
              <w:rPr>
                <w:sz w:val="20"/>
                <w:szCs w:val="20"/>
              </w:rPr>
            </w:pPr>
          </w:p>
        </w:tc>
        <w:tc>
          <w:tcPr>
            <w:tcW w:w="663" w:type="dxa"/>
            <w:shd w:val="clear" w:color="auto" w:fill="auto"/>
            <w:noWrap/>
            <w:vAlign w:val="bottom"/>
            <w:hideMark/>
          </w:tcPr>
          <w:p w14:paraId="452951D0"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5D348150"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4251B15B" w14:textId="77777777" w:rsidR="00BD4D02" w:rsidRPr="00BD4D02" w:rsidRDefault="00BD4D02" w:rsidP="00BD4D02">
            <w:pPr>
              <w:rPr>
                <w:sz w:val="20"/>
                <w:szCs w:val="20"/>
              </w:rPr>
            </w:pPr>
          </w:p>
        </w:tc>
        <w:tc>
          <w:tcPr>
            <w:tcW w:w="663" w:type="dxa"/>
            <w:shd w:val="clear" w:color="auto" w:fill="auto"/>
            <w:noWrap/>
            <w:vAlign w:val="bottom"/>
            <w:hideMark/>
          </w:tcPr>
          <w:p w14:paraId="530DBAFC" w14:textId="77777777" w:rsidR="00BD4D02" w:rsidRPr="00BD4D02" w:rsidRDefault="00BD4D02" w:rsidP="00BD4D02">
            <w:pPr>
              <w:rPr>
                <w:sz w:val="20"/>
                <w:szCs w:val="20"/>
              </w:rPr>
            </w:pPr>
          </w:p>
        </w:tc>
        <w:tc>
          <w:tcPr>
            <w:tcW w:w="663" w:type="dxa"/>
            <w:shd w:val="clear" w:color="auto" w:fill="auto"/>
            <w:noWrap/>
            <w:vAlign w:val="bottom"/>
            <w:hideMark/>
          </w:tcPr>
          <w:p w14:paraId="50CB47F6" w14:textId="77777777" w:rsidR="00BD4D02" w:rsidRPr="00BD4D02" w:rsidRDefault="00BD4D02" w:rsidP="00BD4D02">
            <w:pPr>
              <w:rPr>
                <w:sz w:val="20"/>
                <w:szCs w:val="20"/>
              </w:rPr>
            </w:pPr>
          </w:p>
        </w:tc>
        <w:tc>
          <w:tcPr>
            <w:tcW w:w="663" w:type="dxa"/>
            <w:shd w:val="clear" w:color="auto" w:fill="auto"/>
            <w:noWrap/>
            <w:vAlign w:val="bottom"/>
            <w:hideMark/>
          </w:tcPr>
          <w:p w14:paraId="21949038" w14:textId="77777777" w:rsidR="00BD4D02" w:rsidRPr="00BD4D02" w:rsidRDefault="00BD4D02" w:rsidP="00BD4D02">
            <w:pPr>
              <w:rPr>
                <w:sz w:val="20"/>
                <w:szCs w:val="20"/>
              </w:rPr>
            </w:pPr>
          </w:p>
        </w:tc>
        <w:tc>
          <w:tcPr>
            <w:tcW w:w="663" w:type="dxa"/>
            <w:shd w:val="clear" w:color="auto" w:fill="auto"/>
            <w:noWrap/>
            <w:vAlign w:val="bottom"/>
            <w:hideMark/>
          </w:tcPr>
          <w:p w14:paraId="5B6D84BE" w14:textId="77777777" w:rsidR="00BD4D02" w:rsidRPr="00BD4D02" w:rsidRDefault="00BD4D02" w:rsidP="00BD4D02">
            <w:pPr>
              <w:rPr>
                <w:sz w:val="20"/>
                <w:szCs w:val="20"/>
              </w:rPr>
            </w:pPr>
          </w:p>
        </w:tc>
        <w:tc>
          <w:tcPr>
            <w:tcW w:w="663" w:type="dxa"/>
            <w:shd w:val="clear" w:color="auto" w:fill="auto"/>
            <w:noWrap/>
            <w:vAlign w:val="bottom"/>
            <w:hideMark/>
          </w:tcPr>
          <w:p w14:paraId="138A430B" w14:textId="77777777" w:rsidR="00BD4D02" w:rsidRPr="00BD4D02" w:rsidRDefault="00BD4D02" w:rsidP="00BD4D02">
            <w:pPr>
              <w:rPr>
                <w:sz w:val="20"/>
                <w:szCs w:val="20"/>
              </w:rPr>
            </w:pPr>
          </w:p>
        </w:tc>
        <w:tc>
          <w:tcPr>
            <w:tcW w:w="663" w:type="dxa"/>
            <w:shd w:val="clear" w:color="auto" w:fill="auto"/>
            <w:noWrap/>
            <w:vAlign w:val="bottom"/>
            <w:hideMark/>
          </w:tcPr>
          <w:p w14:paraId="3A3AC48E" w14:textId="77777777" w:rsidR="00BD4D02" w:rsidRPr="00BD4D02" w:rsidRDefault="00BD4D02" w:rsidP="00BD4D02">
            <w:pPr>
              <w:rPr>
                <w:sz w:val="20"/>
                <w:szCs w:val="20"/>
              </w:rPr>
            </w:pPr>
          </w:p>
        </w:tc>
        <w:tc>
          <w:tcPr>
            <w:tcW w:w="663" w:type="dxa"/>
            <w:shd w:val="clear" w:color="auto" w:fill="auto"/>
            <w:noWrap/>
            <w:vAlign w:val="bottom"/>
            <w:hideMark/>
          </w:tcPr>
          <w:p w14:paraId="7B9340F7" w14:textId="77777777" w:rsidR="00BD4D02" w:rsidRPr="00BD4D02" w:rsidRDefault="00BD4D02" w:rsidP="00BD4D02">
            <w:pPr>
              <w:rPr>
                <w:sz w:val="20"/>
                <w:szCs w:val="20"/>
              </w:rPr>
            </w:pPr>
          </w:p>
        </w:tc>
        <w:tc>
          <w:tcPr>
            <w:tcW w:w="1180" w:type="dxa"/>
            <w:shd w:val="clear" w:color="auto" w:fill="auto"/>
            <w:noWrap/>
            <w:vAlign w:val="bottom"/>
            <w:hideMark/>
          </w:tcPr>
          <w:p w14:paraId="5B304B93"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27DEF5F0" w14:textId="77777777" w:rsidTr="00050580">
        <w:trPr>
          <w:trHeight w:val="144"/>
        </w:trPr>
        <w:tc>
          <w:tcPr>
            <w:tcW w:w="4500" w:type="dxa"/>
            <w:shd w:val="clear" w:color="auto" w:fill="auto"/>
            <w:noWrap/>
            <w:vAlign w:val="bottom"/>
            <w:hideMark/>
          </w:tcPr>
          <w:p w14:paraId="5B43673E"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Broadband - Urban/Rural</w:t>
            </w:r>
          </w:p>
        </w:tc>
        <w:tc>
          <w:tcPr>
            <w:tcW w:w="770" w:type="dxa"/>
            <w:shd w:val="clear" w:color="auto" w:fill="auto"/>
            <w:noWrap/>
            <w:vAlign w:val="bottom"/>
            <w:hideMark/>
          </w:tcPr>
          <w:p w14:paraId="43DCA5D7"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02D30DAA"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75BFDD17"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5C91AD3F"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5BB03E66"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1356BA35"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01322CFE"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7CF4C66A"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556CCEE9"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4A4AB682"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2F48685A"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07D81758"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1180" w:type="dxa"/>
            <w:shd w:val="clear" w:color="auto" w:fill="auto"/>
            <w:noWrap/>
            <w:vAlign w:val="bottom"/>
            <w:hideMark/>
          </w:tcPr>
          <w:p w14:paraId="08044BDC"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14</w:t>
            </w:r>
          </w:p>
        </w:tc>
      </w:tr>
      <w:tr w:rsidR="00BD4D02" w:rsidRPr="00BD4D02" w14:paraId="3B23EBA9" w14:textId="77777777" w:rsidTr="00050580">
        <w:trPr>
          <w:trHeight w:val="144"/>
        </w:trPr>
        <w:tc>
          <w:tcPr>
            <w:tcW w:w="4500" w:type="dxa"/>
            <w:shd w:val="clear" w:color="auto" w:fill="auto"/>
            <w:noWrap/>
            <w:vAlign w:val="bottom"/>
            <w:hideMark/>
          </w:tcPr>
          <w:p w14:paraId="2F8DC8D0"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Broadband/mobile - First Nations</w:t>
            </w:r>
          </w:p>
        </w:tc>
        <w:tc>
          <w:tcPr>
            <w:tcW w:w="770" w:type="dxa"/>
            <w:shd w:val="clear" w:color="auto" w:fill="auto"/>
            <w:noWrap/>
            <w:vAlign w:val="bottom"/>
            <w:hideMark/>
          </w:tcPr>
          <w:p w14:paraId="6D5D981F"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3AA1BED2" w14:textId="77777777" w:rsidR="00BD4D02" w:rsidRPr="00BD4D02" w:rsidRDefault="00BD4D02" w:rsidP="00BD4D02">
            <w:pPr>
              <w:rPr>
                <w:sz w:val="20"/>
                <w:szCs w:val="20"/>
              </w:rPr>
            </w:pPr>
          </w:p>
        </w:tc>
        <w:tc>
          <w:tcPr>
            <w:tcW w:w="663" w:type="dxa"/>
            <w:shd w:val="clear" w:color="auto" w:fill="auto"/>
            <w:noWrap/>
            <w:vAlign w:val="bottom"/>
            <w:hideMark/>
          </w:tcPr>
          <w:p w14:paraId="6A2244F2" w14:textId="77777777" w:rsidR="00BD4D02" w:rsidRPr="00BD4D02" w:rsidRDefault="00BD4D02" w:rsidP="00BD4D02">
            <w:pPr>
              <w:rPr>
                <w:sz w:val="20"/>
                <w:szCs w:val="20"/>
              </w:rPr>
            </w:pPr>
          </w:p>
        </w:tc>
        <w:tc>
          <w:tcPr>
            <w:tcW w:w="663" w:type="dxa"/>
            <w:shd w:val="clear" w:color="auto" w:fill="auto"/>
            <w:noWrap/>
            <w:vAlign w:val="bottom"/>
            <w:hideMark/>
          </w:tcPr>
          <w:p w14:paraId="3FBBDCC5" w14:textId="77777777" w:rsidR="00BD4D02" w:rsidRPr="00BD4D02" w:rsidRDefault="00BD4D02" w:rsidP="00BD4D02">
            <w:pPr>
              <w:rPr>
                <w:sz w:val="20"/>
                <w:szCs w:val="20"/>
              </w:rPr>
            </w:pPr>
          </w:p>
        </w:tc>
        <w:tc>
          <w:tcPr>
            <w:tcW w:w="663" w:type="dxa"/>
            <w:shd w:val="clear" w:color="auto" w:fill="auto"/>
            <w:noWrap/>
            <w:vAlign w:val="bottom"/>
            <w:hideMark/>
          </w:tcPr>
          <w:p w14:paraId="251137C7" w14:textId="77777777" w:rsidR="00BD4D02" w:rsidRPr="00BD4D02" w:rsidRDefault="00BD4D02" w:rsidP="00BD4D02">
            <w:pPr>
              <w:rPr>
                <w:sz w:val="20"/>
                <w:szCs w:val="20"/>
              </w:rPr>
            </w:pPr>
          </w:p>
        </w:tc>
        <w:tc>
          <w:tcPr>
            <w:tcW w:w="663" w:type="dxa"/>
            <w:shd w:val="clear" w:color="auto" w:fill="auto"/>
            <w:noWrap/>
            <w:vAlign w:val="bottom"/>
            <w:hideMark/>
          </w:tcPr>
          <w:p w14:paraId="20958857" w14:textId="77777777" w:rsidR="00BD4D02" w:rsidRPr="00BD4D02" w:rsidRDefault="00BD4D02" w:rsidP="00BD4D02">
            <w:pPr>
              <w:rPr>
                <w:sz w:val="20"/>
                <w:szCs w:val="20"/>
              </w:rPr>
            </w:pPr>
          </w:p>
        </w:tc>
        <w:tc>
          <w:tcPr>
            <w:tcW w:w="663" w:type="dxa"/>
            <w:shd w:val="clear" w:color="auto" w:fill="auto"/>
            <w:noWrap/>
            <w:vAlign w:val="bottom"/>
            <w:hideMark/>
          </w:tcPr>
          <w:p w14:paraId="239C2A2E" w14:textId="77777777" w:rsidR="00BD4D02" w:rsidRPr="00BD4D02" w:rsidRDefault="00BD4D02" w:rsidP="00BD4D02">
            <w:pPr>
              <w:rPr>
                <w:sz w:val="20"/>
                <w:szCs w:val="20"/>
              </w:rPr>
            </w:pPr>
          </w:p>
        </w:tc>
        <w:tc>
          <w:tcPr>
            <w:tcW w:w="663" w:type="dxa"/>
            <w:shd w:val="clear" w:color="auto" w:fill="auto"/>
            <w:noWrap/>
            <w:vAlign w:val="bottom"/>
            <w:hideMark/>
          </w:tcPr>
          <w:p w14:paraId="390ADF82" w14:textId="77777777" w:rsidR="00BD4D02" w:rsidRPr="00BD4D02" w:rsidRDefault="00BD4D02" w:rsidP="00BD4D02">
            <w:pPr>
              <w:rPr>
                <w:sz w:val="20"/>
                <w:szCs w:val="20"/>
              </w:rPr>
            </w:pPr>
          </w:p>
        </w:tc>
        <w:tc>
          <w:tcPr>
            <w:tcW w:w="663" w:type="dxa"/>
            <w:shd w:val="clear" w:color="auto" w:fill="auto"/>
            <w:noWrap/>
            <w:vAlign w:val="bottom"/>
            <w:hideMark/>
          </w:tcPr>
          <w:p w14:paraId="712D4BED" w14:textId="77777777" w:rsidR="00BD4D02" w:rsidRPr="00BD4D02" w:rsidRDefault="00BD4D02" w:rsidP="00BD4D02">
            <w:pPr>
              <w:rPr>
                <w:sz w:val="20"/>
                <w:szCs w:val="20"/>
              </w:rPr>
            </w:pPr>
          </w:p>
        </w:tc>
        <w:tc>
          <w:tcPr>
            <w:tcW w:w="663" w:type="dxa"/>
            <w:shd w:val="clear" w:color="auto" w:fill="auto"/>
            <w:noWrap/>
            <w:vAlign w:val="bottom"/>
            <w:hideMark/>
          </w:tcPr>
          <w:p w14:paraId="71C6AACC" w14:textId="77777777" w:rsidR="00BD4D02" w:rsidRPr="00BD4D02" w:rsidRDefault="00BD4D02" w:rsidP="00BD4D02">
            <w:pPr>
              <w:rPr>
                <w:sz w:val="20"/>
                <w:szCs w:val="20"/>
              </w:rPr>
            </w:pPr>
          </w:p>
        </w:tc>
        <w:tc>
          <w:tcPr>
            <w:tcW w:w="663" w:type="dxa"/>
            <w:shd w:val="clear" w:color="auto" w:fill="auto"/>
            <w:noWrap/>
            <w:vAlign w:val="bottom"/>
            <w:hideMark/>
          </w:tcPr>
          <w:p w14:paraId="6D933CEE" w14:textId="77777777" w:rsidR="00BD4D02" w:rsidRPr="00BD4D02" w:rsidRDefault="00BD4D02" w:rsidP="00BD4D02">
            <w:pPr>
              <w:rPr>
                <w:sz w:val="20"/>
                <w:szCs w:val="20"/>
              </w:rPr>
            </w:pPr>
          </w:p>
        </w:tc>
        <w:tc>
          <w:tcPr>
            <w:tcW w:w="663" w:type="dxa"/>
            <w:shd w:val="clear" w:color="auto" w:fill="auto"/>
            <w:noWrap/>
            <w:vAlign w:val="bottom"/>
            <w:hideMark/>
          </w:tcPr>
          <w:p w14:paraId="44957B29"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1180" w:type="dxa"/>
            <w:shd w:val="clear" w:color="auto" w:fill="auto"/>
            <w:noWrap/>
            <w:vAlign w:val="bottom"/>
            <w:hideMark/>
          </w:tcPr>
          <w:p w14:paraId="35A2A1BF"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r>
      <w:tr w:rsidR="00BD4D02" w:rsidRPr="00BD4D02" w14:paraId="03EE700D" w14:textId="77777777" w:rsidTr="00050580">
        <w:trPr>
          <w:trHeight w:val="144"/>
        </w:trPr>
        <w:tc>
          <w:tcPr>
            <w:tcW w:w="4500" w:type="dxa"/>
            <w:shd w:val="clear" w:color="auto" w:fill="auto"/>
            <w:noWrap/>
            <w:vAlign w:val="bottom"/>
            <w:hideMark/>
          </w:tcPr>
          <w:p w14:paraId="6C1492FA"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 xml:space="preserve">Broadband/mobile - official language </w:t>
            </w:r>
            <w:proofErr w:type="spellStart"/>
            <w:r w:rsidRPr="00BD4D02">
              <w:rPr>
                <w:rFonts w:ascii="Calibri" w:hAnsi="Calibri" w:cs="Calibri"/>
                <w:color w:val="000000"/>
                <w:sz w:val="20"/>
                <w:szCs w:val="20"/>
              </w:rPr>
              <w:t>minoritiess</w:t>
            </w:r>
            <w:proofErr w:type="spellEnd"/>
          </w:p>
        </w:tc>
        <w:tc>
          <w:tcPr>
            <w:tcW w:w="770" w:type="dxa"/>
            <w:shd w:val="clear" w:color="auto" w:fill="auto"/>
            <w:noWrap/>
            <w:vAlign w:val="bottom"/>
            <w:hideMark/>
          </w:tcPr>
          <w:p w14:paraId="6C575FD4"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6F042E24" w14:textId="77777777" w:rsidR="00BD4D02" w:rsidRPr="00BD4D02" w:rsidRDefault="00BD4D02" w:rsidP="00BD4D02">
            <w:pPr>
              <w:rPr>
                <w:sz w:val="20"/>
                <w:szCs w:val="20"/>
              </w:rPr>
            </w:pPr>
          </w:p>
        </w:tc>
        <w:tc>
          <w:tcPr>
            <w:tcW w:w="663" w:type="dxa"/>
            <w:shd w:val="clear" w:color="auto" w:fill="auto"/>
            <w:noWrap/>
            <w:vAlign w:val="bottom"/>
            <w:hideMark/>
          </w:tcPr>
          <w:p w14:paraId="0E6B0B19" w14:textId="77777777" w:rsidR="00BD4D02" w:rsidRPr="00BD4D02" w:rsidRDefault="00BD4D02" w:rsidP="00BD4D02">
            <w:pPr>
              <w:rPr>
                <w:sz w:val="20"/>
                <w:szCs w:val="20"/>
              </w:rPr>
            </w:pPr>
          </w:p>
        </w:tc>
        <w:tc>
          <w:tcPr>
            <w:tcW w:w="663" w:type="dxa"/>
            <w:shd w:val="clear" w:color="auto" w:fill="auto"/>
            <w:noWrap/>
            <w:vAlign w:val="bottom"/>
            <w:hideMark/>
          </w:tcPr>
          <w:p w14:paraId="3B9586D7" w14:textId="77777777" w:rsidR="00BD4D02" w:rsidRPr="00BD4D02" w:rsidRDefault="00BD4D02" w:rsidP="00BD4D02">
            <w:pPr>
              <w:rPr>
                <w:sz w:val="20"/>
                <w:szCs w:val="20"/>
              </w:rPr>
            </w:pPr>
          </w:p>
        </w:tc>
        <w:tc>
          <w:tcPr>
            <w:tcW w:w="663" w:type="dxa"/>
            <w:shd w:val="clear" w:color="auto" w:fill="auto"/>
            <w:noWrap/>
            <w:vAlign w:val="bottom"/>
            <w:hideMark/>
          </w:tcPr>
          <w:p w14:paraId="7262A7E4" w14:textId="77777777" w:rsidR="00BD4D02" w:rsidRPr="00BD4D02" w:rsidRDefault="00BD4D02" w:rsidP="00BD4D02">
            <w:pPr>
              <w:rPr>
                <w:sz w:val="20"/>
                <w:szCs w:val="20"/>
              </w:rPr>
            </w:pPr>
          </w:p>
        </w:tc>
        <w:tc>
          <w:tcPr>
            <w:tcW w:w="663" w:type="dxa"/>
            <w:shd w:val="clear" w:color="auto" w:fill="auto"/>
            <w:noWrap/>
            <w:vAlign w:val="bottom"/>
            <w:hideMark/>
          </w:tcPr>
          <w:p w14:paraId="4DCFC219" w14:textId="77777777" w:rsidR="00BD4D02" w:rsidRPr="00BD4D02" w:rsidRDefault="00BD4D02" w:rsidP="00BD4D02">
            <w:pPr>
              <w:rPr>
                <w:sz w:val="20"/>
                <w:szCs w:val="20"/>
              </w:rPr>
            </w:pPr>
          </w:p>
        </w:tc>
        <w:tc>
          <w:tcPr>
            <w:tcW w:w="663" w:type="dxa"/>
            <w:shd w:val="clear" w:color="auto" w:fill="auto"/>
            <w:noWrap/>
            <w:vAlign w:val="bottom"/>
            <w:hideMark/>
          </w:tcPr>
          <w:p w14:paraId="3656250E" w14:textId="77777777" w:rsidR="00BD4D02" w:rsidRPr="00BD4D02" w:rsidRDefault="00BD4D02" w:rsidP="00BD4D02">
            <w:pPr>
              <w:rPr>
                <w:sz w:val="20"/>
                <w:szCs w:val="20"/>
              </w:rPr>
            </w:pPr>
          </w:p>
        </w:tc>
        <w:tc>
          <w:tcPr>
            <w:tcW w:w="663" w:type="dxa"/>
            <w:shd w:val="clear" w:color="auto" w:fill="auto"/>
            <w:noWrap/>
            <w:vAlign w:val="bottom"/>
            <w:hideMark/>
          </w:tcPr>
          <w:p w14:paraId="21D85A1D" w14:textId="77777777" w:rsidR="00BD4D02" w:rsidRPr="00BD4D02" w:rsidRDefault="00BD4D02" w:rsidP="00BD4D02">
            <w:pPr>
              <w:rPr>
                <w:sz w:val="20"/>
                <w:szCs w:val="20"/>
              </w:rPr>
            </w:pPr>
          </w:p>
        </w:tc>
        <w:tc>
          <w:tcPr>
            <w:tcW w:w="663" w:type="dxa"/>
            <w:shd w:val="clear" w:color="auto" w:fill="auto"/>
            <w:noWrap/>
            <w:vAlign w:val="bottom"/>
            <w:hideMark/>
          </w:tcPr>
          <w:p w14:paraId="0405BDB7" w14:textId="77777777" w:rsidR="00BD4D02" w:rsidRPr="00BD4D02" w:rsidRDefault="00BD4D02" w:rsidP="00BD4D02">
            <w:pPr>
              <w:rPr>
                <w:sz w:val="20"/>
                <w:szCs w:val="20"/>
              </w:rPr>
            </w:pPr>
          </w:p>
        </w:tc>
        <w:tc>
          <w:tcPr>
            <w:tcW w:w="663" w:type="dxa"/>
            <w:shd w:val="clear" w:color="auto" w:fill="auto"/>
            <w:noWrap/>
            <w:vAlign w:val="bottom"/>
            <w:hideMark/>
          </w:tcPr>
          <w:p w14:paraId="6B4BCB47" w14:textId="77777777" w:rsidR="00BD4D02" w:rsidRPr="00BD4D02" w:rsidRDefault="00BD4D02" w:rsidP="00BD4D02">
            <w:pPr>
              <w:rPr>
                <w:sz w:val="20"/>
                <w:szCs w:val="20"/>
              </w:rPr>
            </w:pPr>
          </w:p>
        </w:tc>
        <w:tc>
          <w:tcPr>
            <w:tcW w:w="663" w:type="dxa"/>
            <w:shd w:val="clear" w:color="auto" w:fill="auto"/>
            <w:noWrap/>
            <w:vAlign w:val="bottom"/>
            <w:hideMark/>
          </w:tcPr>
          <w:p w14:paraId="55C24CAA" w14:textId="77777777" w:rsidR="00BD4D02" w:rsidRPr="00BD4D02" w:rsidRDefault="00BD4D02" w:rsidP="00BD4D02">
            <w:pPr>
              <w:rPr>
                <w:sz w:val="20"/>
                <w:szCs w:val="20"/>
              </w:rPr>
            </w:pPr>
          </w:p>
        </w:tc>
        <w:tc>
          <w:tcPr>
            <w:tcW w:w="663" w:type="dxa"/>
            <w:shd w:val="clear" w:color="auto" w:fill="auto"/>
            <w:noWrap/>
            <w:vAlign w:val="bottom"/>
            <w:hideMark/>
          </w:tcPr>
          <w:p w14:paraId="1A0408ED"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1180" w:type="dxa"/>
            <w:shd w:val="clear" w:color="auto" w:fill="auto"/>
            <w:noWrap/>
            <w:vAlign w:val="bottom"/>
            <w:hideMark/>
          </w:tcPr>
          <w:p w14:paraId="27D7268B"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r>
      <w:tr w:rsidR="00BD4D02" w:rsidRPr="00BD4D02" w14:paraId="4A1C5DEC" w14:textId="77777777" w:rsidTr="00050580">
        <w:trPr>
          <w:trHeight w:val="144"/>
        </w:trPr>
        <w:tc>
          <w:tcPr>
            <w:tcW w:w="4500" w:type="dxa"/>
            <w:shd w:val="clear" w:color="auto" w:fill="auto"/>
            <w:noWrap/>
            <w:vAlign w:val="bottom"/>
            <w:hideMark/>
          </w:tcPr>
          <w:p w14:paraId="6D4D561F"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Connections - international</w:t>
            </w:r>
          </w:p>
        </w:tc>
        <w:tc>
          <w:tcPr>
            <w:tcW w:w="770" w:type="dxa"/>
            <w:shd w:val="clear" w:color="auto" w:fill="auto"/>
            <w:noWrap/>
            <w:vAlign w:val="bottom"/>
            <w:hideMark/>
          </w:tcPr>
          <w:p w14:paraId="4AEDD454"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20F7781A"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50C75243"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09ABC5DC" w14:textId="77777777" w:rsidR="00BD4D02" w:rsidRPr="00BD4D02" w:rsidRDefault="00BD4D02" w:rsidP="00BD4D02">
            <w:pPr>
              <w:rPr>
                <w:sz w:val="20"/>
                <w:szCs w:val="20"/>
              </w:rPr>
            </w:pPr>
          </w:p>
        </w:tc>
        <w:tc>
          <w:tcPr>
            <w:tcW w:w="663" w:type="dxa"/>
            <w:shd w:val="clear" w:color="auto" w:fill="auto"/>
            <w:noWrap/>
            <w:vAlign w:val="bottom"/>
            <w:hideMark/>
          </w:tcPr>
          <w:p w14:paraId="1DD24385" w14:textId="77777777" w:rsidR="00BD4D02" w:rsidRPr="00BD4D02" w:rsidRDefault="00BD4D02" w:rsidP="00BD4D02">
            <w:pPr>
              <w:rPr>
                <w:sz w:val="20"/>
                <w:szCs w:val="20"/>
              </w:rPr>
            </w:pPr>
          </w:p>
        </w:tc>
        <w:tc>
          <w:tcPr>
            <w:tcW w:w="663" w:type="dxa"/>
            <w:shd w:val="clear" w:color="auto" w:fill="auto"/>
            <w:noWrap/>
            <w:vAlign w:val="bottom"/>
            <w:hideMark/>
          </w:tcPr>
          <w:p w14:paraId="2674FA71" w14:textId="77777777" w:rsidR="00BD4D02" w:rsidRPr="00BD4D02" w:rsidRDefault="00BD4D02" w:rsidP="00BD4D02">
            <w:pPr>
              <w:rPr>
                <w:sz w:val="20"/>
                <w:szCs w:val="20"/>
              </w:rPr>
            </w:pPr>
          </w:p>
        </w:tc>
        <w:tc>
          <w:tcPr>
            <w:tcW w:w="663" w:type="dxa"/>
            <w:shd w:val="clear" w:color="auto" w:fill="auto"/>
            <w:noWrap/>
            <w:vAlign w:val="bottom"/>
            <w:hideMark/>
          </w:tcPr>
          <w:p w14:paraId="70B89292" w14:textId="77777777" w:rsidR="00BD4D02" w:rsidRPr="00BD4D02" w:rsidRDefault="00BD4D02" w:rsidP="00BD4D02">
            <w:pPr>
              <w:rPr>
                <w:sz w:val="20"/>
                <w:szCs w:val="20"/>
              </w:rPr>
            </w:pPr>
          </w:p>
        </w:tc>
        <w:tc>
          <w:tcPr>
            <w:tcW w:w="663" w:type="dxa"/>
            <w:shd w:val="clear" w:color="auto" w:fill="auto"/>
            <w:noWrap/>
            <w:vAlign w:val="bottom"/>
            <w:hideMark/>
          </w:tcPr>
          <w:p w14:paraId="73DBDCDA" w14:textId="77777777" w:rsidR="00BD4D02" w:rsidRPr="00BD4D02" w:rsidRDefault="00BD4D02" w:rsidP="00BD4D02">
            <w:pPr>
              <w:rPr>
                <w:sz w:val="20"/>
                <w:szCs w:val="20"/>
              </w:rPr>
            </w:pPr>
          </w:p>
        </w:tc>
        <w:tc>
          <w:tcPr>
            <w:tcW w:w="663" w:type="dxa"/>
            <w:shd w:val="clear" w:color="auto" w:fill="auto"/>
            <w:noWrap/>
            <w:vAlign w:val="bottom"/>
            <w:hideMark/>
          </w:tcPr>
          <w:p w14:paraId="54B4941A" w14:textId="77777777" w:rsidR="00BD4D02" w:rsidRPr="00BD4D02" w:rsidRDefault="00BD4D02" w:rsidP="00BD4D02">
            <w:pPr>
              <w:rPr>
                <w:sz w:val="20"/>
                <w:szCs w:val="20"/>
              </w:rPr>
            </w:pPr>
          </w:p>
        </w:tc>
        <w:tc>
          <w:tcPr>
            <w:tcW w:w="663" w:type="dxa"/>
            <w:shd w:val="clear" w:color="auto" w:fill="auto"/>
            <w:noWrap/>
            <w:vAlign w:val="bottom"/>
            <w:hideMark/>
          </w:tcPr>
          <w:p w14:paraId="2EA27B7E" w14:textId="77777777" w:rsidR="00BD4D02" w:rsidRPr="00BD4D02" w:rsidRDefault="00BD4D02" w:rsidP="00BD4D02">
            <w:pPr>
              <w:rPr>
                <w:sz w:val="20"/>
                <w:szCs w:val="20"/>
              </w:rPr>
            </w:pPr>
          </w:p>
        </w:tc>
        <w:tc>
          <w:tcPr>
            <w:tcW w:w="663" w:type="dxa"/>
            <w:shd w:val="clear" w:color="auto" w:fill="auto"/>
            <w:noWrap/>
            <w:vAlign w:val="bottom"/>
            <w:hideMark/>
          </w:tcPr>
          <w:p w14:paraId="2A6866A5" w14:textId="77777777" w:rsidR="00BD4D02" w:rsidRPr="00BD4D02" w:rsidRDefault="00BD4D02" w:rsidP="00BD4D02">
            <w:pPr>
              <w:rPr>
                <w:sz w:val="20"/>
                <w:szCs w:val="20"/>
              </w:rPr>
            </w:pPr>
          </w:p>
        </w:tc>
        <w:tc>
          <w:tcPr>
            <w:tcW w:w="663" w:type="dxa"/>
            <w:shd w:val="clear" w:color="auto" w:fill="auto"/>
            <w:noWrap/>
            <w:vAlign w:val="bottom"/>
            <w:hideMark/>
          </w:tcPr>
          <w:p w14:paraId="02368191" w14:textId="77777777" w:rsidR="00BD4D02" w:rsidRPr="00BD4D02" w:rsidRDefault="00BD4D02" w:rsidP="00BD4D02">
            <w:pPr>
              <w:rPr>
                <w:sz w:val="20"/>
                <w:szCs w:val="20"/>
              </w:rPr>
            </w:pPr>
          </w:p>
        </w:tc>
        <w:tc>
          <w:tcPr>
            <w:tcW w:w="1180" w:type="dxa"/>
            <w:shd w:val="clear" w:color="auto" w:fill="auto"/>
            <w:noWrap/>
            <w:vAlign w:val="bottom"/>
            <w:hideMark/>
          </w:tcPr>
          <w:p w14:paraId="00153EF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471F1675" w14:textId="77777777" w:rsidTr="00050580">
        <w:trPr>
          <w:trHeight w:val="144"/>
        </w:trPr>
        <w:tc>
          <w:tcPr>
            <w:tcW w:w="4500" w:type="dxa"/>
            <w:shd w:val="clear" w:color="auto" w:fill="auto"/>
            <w:noWrap/>
            <w:vAlign w:val="bottom"/>
            <w:hideMark/>
          </w:tcPr>
          <w:p w14:paraId="3D4C0451"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Coverage</w:t>
            </w:r>
          </w:p>
        </w:tc>
        <w:tc>
          <w:tcPr>
            <w:tcW w:w="770" w:type="dxa"/>
            <w:shd w:val="clear" w:color="auto" w:fill="auto"/>
            <w:noWrap/>
            <w:vAlign w:val="bottom"/>
            <w:hideMark/>
          </w:tcPr>
          <w:p w14:paraId="284E5B50"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6111D544" w14:textId="77777777" w:rsidR="00BD4D02" w:rsidRPr="00BD4D02" w:rsidRDefault="00BD4D02" w:rsidP="00BD4D02">
            <w:pPr>
              <w:rPr>
                <w:sz w:val="20"/>
                <w:szCs w:val="20"/>
              </w:rPr>
            </w:pPr>
          </w:p>
        </w:tc>
        <w:tc>
          <w:tcPr>
            <w:tcW w:w="663" w:type="dxa"/>
            <w:shd w:val="clear" w:color="auto" w:fill="auto"/>
            <w:noWrap/>
            <w:vAlign w:val="bottom"/>
            <w:hideMark/>
          </w:tcPr>
          <w:p w14:paraId="042F7D4E"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2CE6C685"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2C5AA419"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2C562D5F"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01176AA2" w14:textId="77777777" w:rsidR="00BD4D02" w:rsidRPr="00BD4D02" w:rsidRDefault="00BD4D02" w:rsidP="00BD4D02">
            <w:pPr>
              <w:rPr>
                <w:sz w:val="20"/>
                <w:szCs w:val="20"/>
              </w:rPr>
            </w:pPr>
          </w:p>
        </w:tc>
        <w:tc>
          <w:tcPr>
            <w:tcW w:w="663" w:type="dxa"/>
            <w:shd w:val="clear" w:color="auto" w:fill="auto"/>
            <w:noWrap/>
            <w:vAlign w:val="bottom"/>
            <w:hideMark/>
          </w:tcPr>
          <w:p w14:paraId="7A628983" w14:textId="77777777" w:rsidR="00BD4D02" w:rsidRPr="00BD4D02" w:rsidRDefault="00BD4D02" w:rsidP="00BD4D02">
            <w:pPr>
              <w:rPr>
                <w:sz w:val="20"/>
                <w:szCs w:val="20"/>
              </w:rPr>
            </w:pPr>
          </w:p>
        </w:tc>
        <w:tc>
          <w:tcPr>
            <w:tcW w:w="663" w:type="dxa"/>
            <w:shd w:val="clear" w:color="auto" w:fill="auto"/>
            <w:noWrap/>
            <w:vAlign w:val="bottom"/>
            <w:hideMark/>
          </w:tcPr>
          <w:p w14:paraId="31425D6E" w14:textId="77777777" w:rsidR="00BD4D02" w:rsidRPr="00BD4D02" w:rsidRDefault="00BD4D02" w:rsidP="00BD4D02">
            <w:pPr>
              <w:rPr>
                <w:sz w:val="20"/>
                <w:szCs w:val="20"/>
              </w:rPr>
            </w:pPr>
          </w:p>
        </w:tc>
        <w:tc>
          <w:tcPr>
            <w:tcW w:w="663" w:type="dxa"/>
            <w:shd w:val="clear" w:color="auto" w:fill="auto"/>
            <w:noWrap/>
            <w:vAlign w:val="bottom"/>
            <w:hideMark/>
          </w:tcPr>
          <w:p w14:paraId="5A07071F" w14:textId="77777777" w:rsidR="00BD4D02" w:rsidRPr="00BD4D02" w:rsidRDefault="00BD4D02" w:rsidP="00BD4D02">
            <w:pPr>
              <w:rPr>
                <w:sz w:val="20"/>
                <w:szCs w:val="20"/>
              </w:rPr>
            </w:pPr>
          </w:p>
        </w:tc>
        <w:tc>
          <w:tcPr>
            <w:tcW w:w="663" w:type="dxa"/>
            <w:shd w:val="clear" w:color="auto" w:fill="auto"/>
            <w:noWrap/>
            <w:vAlign w:val="bottom"/>
            <w:hideMark/>
          </w:tcPr>
          <w:p w14:paraId="5AA91903" w14:textId="77777777" w:rsidR="00BD4D02" w:rsidRPr="00BD4D02" w:rsidRDefault="00BD4D02" w:rsidP="00BD4D02">
            <w:pPr>
              <w:rPr>
                <w:sz w:val="20"/>
                <w:szCs w:val="20"/>
              </w:rPr>
            </w:pPr>
          </w:p>
        </w:tc>
        <w:tc>
          <w:tcPr>
            <w:tcW w:w="663" w:type="dxa"/>
            <w:shd w:val="clear" w:color="auto" w:fill="auto"/>
            <w:noWrap/>
            <w:vAlign w:val="bottom"/>
            <w:hideMark/>
          </w:tcPr>
          <w:p w14:paraId="24315F62" w14:textId="77777777" w:rsidR="00BD4D02" w:rsidRPr="00BD4D02" w:rsidRDefault="00BD4D02" w:rsidP="00BD4D02">
            <w:pPr>
              <w:rPr>
                <w:sz w:val="20"/>
                <w:szCs w:val="20"/>
              </w:rPr>
            </w:pPr>
          </w:p>
        </w:tc>
        <w:tc>
          <w:tcPr>
            <w:tcW w:w="1180" w:type="dxa"/>
            <w:shd w:val="clear" w:color="auto" w:fill="auto"/>
            <w:noWrap/>
            <w:vAlign w:val="bottom"/>
            <w:hideMark/>
          </w:tcPr>
          <w:p w14:paraId="1524FD88"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w:t>
            </w:r>
          </w:p>
        </w:tc>
      </w:tr>
      <w:tr w:rsidR="00BD4D02" w:rsidRPr="00BD4D02" w14:paraId="3E45D218" w14:textId="77777777" w:rsidTr="00050580">
        <w:trPr>
          <w:trHeight w:val="144"/>
        </w:trPr>
        <w:tc>
          <w:tcPr>
            <w:tcW w:w="4500" w:type="dxa"/>
            <w:shd w:val="clear" w:color="auto" w:fill="auto"/>
            <w:noWrap/>
            <w:vAlign w:val="bottom"/>
            <w:hideMark/>
          </w:tcPr>
          <w:p w14:paraId="0EAD6E5C"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Coverage - broadband, mobile</w:t>
            </w:r>
          </w:p>
        </w:tc>
        <w:tc>
          <w:tcPr>
            <w:tcW w:w="770" w:type="dxa"/>
            <w:shd w:val="clear" w:color="auto" w:fill="auto"/>
            <w:noWrap/>
            <w:vAlign w:val="bottom"/>
            <w:hideMark/>
          </w:tcPr>
          <w:p w14:paraId="2E6F6975"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032D8387" w14:textId="77777777" w:rsidR="00BD4D02" w:rsidRPr="00BD4D02" w:rsidRDefault="00BD4D02" w:rsidP="00BD4D02">
            <w:pPr>
              <w:rPr>
                <w:sz w:val="20"/>
                <w:szCs w:val="20"/>
              </w:rPr>
            </w:pPr>
          </w:p>
        </w:tc>
        <w:tc>
          <w:tcPr>
            <w:tcW w:w="663" w:type="dxa"/>
            <w:shd w:val="clear" w:color="auto" w:fill="auto"/>
            <w:noWrap/>
            <w:vAlign w:val="bottom"/>
            <w:hideMark/>
          </w:tcPr>
          <w:p w14:paraId="041B733D" w14:textId="77777777" w:rsidR="00BD4D02" w:rsidRPr="00BD4D02" w:rsidRDefault="00BD4D02" w:rsidP="00BD4D02">
            <w:pPr>
              <w:rPr>
                <w:sz w:val="20"/>
                <w:szCs w:val="20"/>
              </w:rPr>
            </w:pPr>
          </w:p>
        </w:tc>
        <w:tc>
          <w:tcPr>
            <w:tcW w:w="663" w:type="dxa"/>
            <w:shd w:val="clear" w:color="auto" w:fill="auto"/>
            <w:noWrap/>
            <w:vAlign w:val="bottom"/>
            <w:hideMark/>
          </w:tcPr>
          <w:p w14:paraId="2C20B08C" w14:textId="77777777" w:rsidR="00BD4D02" w:rsidRPr="00BD4D02" w:rsidRDefault="00BD4D02" w:rsidP="00BD4D02">
            <w:pPr>
              <w:rPr>
                <w:sz w:val="20"/>
                <w:szCs w:val="20"/>
              </w:rPr>
            </w:pPr>
          </w:p>
        </w:tc>
        <w:tc>
          <w:tcPr>
            <w:tcW w:w="663" w:type="dxa"/>
            <w:shd w:val="clear" w:color="auto" w:fill="auto"/>
            <w:noWrap/>
            <w:vAlign w:val="bottom"/>
            <w:hideMark/>
          </w:tcPr>
          <w:p w14:paraId="7D21BCF8" w14:textId="77777777" w:rsidR="00BD4D02" w:rsidRPr="00BD4D02" w:rsidRDefault="00BD4D02" w:rsidP="00BD4D02">
            <w:pPr>
              <w:rPr>
                <w:sz w:val="20"/>
                <w:szCs w:val="20"/>
              </w:rPr>
            </w:pPr>
          </w:p>
        </w:tc>
        <w:tc>
          <w:tcPr>
            <w:tcW w:w="663" w:type="dxa"/>
            <w:shd w:val="clear" w:color="auto" w:fill="auto"/>
            <w:noWrap/>
            <w:vAlign w:val="bottom"/>
            <w:hideMark/>
          </w:tcPr>
          <w:p w14:paraId="125B6A0C"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58001876"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16B7595C" w14:textId="77777777" w:rsidR="00BD4D02" w:rsidRPr="00BD4D02" w:rsidRDefault="00BD4D02" w:rsidP="00BD4D02">
            <w:pPr>
              <w:rPr>
                <w:sz w:val="20"/>
                <w:szCs w:val="20"/>
              </w:rPr>
            </w:pPr>
          </w:p>
        </w:tc>
        <w:tc>
          <w:tcPr>
            <w:tcW w:w="663" w:type="dxa"/>
            <w:shd w:val="clear" w:color="auto" w:fill="auto"/>
            <w:noWrap/>
            <w:vAlign w:val="bottom"/>
            <w:hideMark/>
          </w:tcPr>
          <w:p w14:paraId="12EBE6E1" w14:textId="77777777" w:rsidR="00BD4D02" w:rsidRPr="00BD4D02" w:rsidRDefault="00BD4D02" w:rsidP="00BD4D02">
            <w:pPr>
              <w:rPr>
                <w:sz w:val="20"/>
                <w:szCs w:val="20"/>
              </w:rPr>
            </w:pPr>
          </w:p>
        </w:tc>
        <w:tc>
          <w:tcPr>
            <w:tcW w:w="663" w:type="dxa"/>
            <w:shd w:val="clear" w:color="auto" w:fill="auto"/>
            <w:noWrap/>
            <w:vAlign w:val="bottom"/>
            <w:hideMark/>
          </w:tcPr>
          <w:p w14:paraId="7F051203" w14:textId="77777777" w:rsidR="00BD4D02" w:rsidRPr="00BD4D02" w:rsidRDefault="00BD4D02" w:rsidP="00BD4D02">
            <w:pPr>
              <w:rPr>
                <w:sz w:val="20"/>
                <w:szCs w:val="20"/>
              </w:rPr>
            </w:pPr>
          </w:p>
        </w:tc>
        <w:tc>
          <w:tcPr>
            <w:tcW w:w="663" w:type="dxa"/>
            <w:shd w:val="clear" w:color="auto" w:fill="auto"/>
            <w:noWrap/>
            <w:vAlign w:val="bottom"/>
            <w:hideMark/>
          </w:tcPr>
          <w:p w14:paraId="0090F9DA" w14:textId="77777777" w:rsidR="00BD4D02" w:rsidRPr="00BD4D02" w:rsidRDefault="00BD4D02" w:rsidP="00BD4D02">
            <w:pPr>
              <w:rPr>
                <w:sz w:val="20"/>
                <w:szCs w:val="20"/>
              </w:rPr>
            </w:pPr>
          </w:p>
        </w:tc>
        <w:tc>
          <w:tcPr>
            <w:tcW w:w="663" w:type="dxa"/>
            <w:shd w:val="clear" w:color="auto" w:fill="auto"/>
            <w:noWrap/>
            <w:vAlign w:val="bottom"/>
            <w:hideMark/>
          </w:tcPr>
          <w:p w14:paraId="54CDBDF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1180" w:type="dxa"/>
            <w:shd w:val="clear" w:color="auto" w:fill="auto"/>
            <w:noWrap/>
            <w:vAlign w:val="bottom"/>
            <w:hideMark/>
          </w:tcPr>
          <w:p w14:paraId="73FCA4A9"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r>
      <w:tr w:rsidR="00BD4D02" w:rsidRPr="00BD4D02" w14:paraId="5F2012A1" w14:textId="77777777" w:rsidTr="00050580">
        <w:trPr>
          <w:trHeight w:val="144"/>
        </w:trPr>
        <w:tc>
          <w:tcPr>
            <w:tcW w:w="4500" w:type="dxa"/>
            <w:shd w:val="clear" w:color="auto" w:fill="auto"/>
            <w:noWrap/>
            <w:vAlign w:val="bottom"/>
            <w:hideMark/>
          </w:tcPr>
          <w:p w14:paraId="1799AF60"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Coverage - LTE</w:t>
            </w:r>
          </w:p>
        </w:tc>
        <w:tc>
          <w:tcPr>
            <w:tcW w:w="770" w:type="dxa"/>
            <w:shd w:val="clear" w:color="auto" w:fill="auto"/>
            <w:noWrap/>
            <w:vAlign w:val="bottom"/>
            <w:hideMark/>
          </w:tcPr>
          <w:p w14:paraId="7DE9A261"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07075F66" w14:textId="77777777" w:rsidR="00BD4D02" w:rsidRPr="00BD4D02" w:rsidRDefault="00BD4D02" w:rsidP="00BD4D02">
            <w:pPr>
              <w:rPr>
                <w:sz w:val="20"/>
                <w:szCs w:val="20"/>
              </w:rPr>
            </w:pPr>
          </w:p>
        </w:tc>
        <w:tc>
          <w:tcPr>
            <w:tcW w:w="663" w:type="dxa"/>
            <w:shd w:val="clear" w:color="auto" w:fill="auto"/>
            <w:noWrap/>
            <w:vAlign w:val="bottom"/>
            <w:hideMark/>
          </w:tcPr>
          <w:p w14:paraId="40E37EC8" w14:textId="77777777" w:rsidR="00BD4D02" w:rsidRPr="00BD4D02" w:rsidRDefault="00BD4D02" w:rsidP="00BD4D02">
            <w:pPr>
              <w:rPr>
                <w:sz w:val="20"/>
                <w:szCs w:val="20"/>
              </w:rPr>
            </w:pPr>
          </w:p>
        </w:tc>
        <w:tc>
          <w:tcPr>
            <w:tcW w:w="663" w:type="dxa"/>
            <w:shd w:val="clear" w:color="auto" w:fill="auto"/>
            <w:noWrap/>
            <w:vAlign w:val="bottom"/>
            <w:hideMark/>
          </w:tcPr>
          <w:p w14:paraId="7283975E" w14:textId="77777777" w:rsidR="00BD4D02" w:rsidRPr="00BD4D02" w:rsidRDefault="00BD4D02" w:rsidP="00BD4D02">
            <w:pPr>
              <w:rPr>
                <w:sz w:val="20"/>
                <w:szCs w:val="20"/>
              </w:rPr>
            </w:pPr>
          </w:p>
        </w:tc>
        <w:tc>
          <w:tcPr>
            <w:tcW w:w="663" w:type="dxa"/>
            <w:shd w:val="clear" w:color="auto" w:fill="auto"/>
            <w:noWrap/>
            <w:vAlign w:val="bottom"/>
            <w:hideMark/>
          </w:tcPr>
          <w:p w14:paraId="3D52F3C0" w14:textId="77777777" w:rsidR="00BD4D02" w:rsidRPr="00BD4D02" w:rsidRDefault="00BD4D02" w:rsidP="00BD4D02">
            <w:pPr>
              <w:rPr>
                <w:sz w:val="20"/>
                <w:szCs w:val="20"/>
              </w:rPr>
            </w:pPr>
          </w:p>
        </w:tc>
        <w:tc>
          <w:tcPr>
            <w:tcW w:w="663" w:type="dxa"/>
            <w:shd w:val="clear" w:color="auto" w:fill="auto"/>
            <w:noWrap/>
            <w:vAlign w:val="bottom"/>
            <w:hideMark/>
          </w:tcPr>
          <w:p w14:paraId="325DD74E" w14:textId="77777777" w:rsidR="00BD4D02" w:rsidRPr="00BD4D02" w:rsidRDefault="00BD4D02" w:rsidP="00BD4D02">
            <w:pPr>
              <w:rPr>
                <w:sz w:val="20"/>
                <w:szCs w:val="20"/>
              </w:rPr>
            </w:pPr>
          </w:p>
        </w:tc>
        <w:tc>
          <w:tcPr>
            <w:tcW w:w="663" w:type="dxa"/>
            <w:shd w:val="clear" w:color="auto" w:fill="auto"/>
            <w:noWrap/>
            <w:vAlign w:val="bottom"/>
            <w:hideMark/>
          </w:tcPr>
          <w:p w14:paraId="55199AE9" w14:textId="77777777" w:rsidR="00BD4D02" w:rsidRPr="00BD4D02" w:rsidRDefault="00BD4D02" w:rsidP="00BD4D02">
            <w:pPr>
              <w:rPr>
                <w:sz w:val="20"/>
                <w:szCs w:val="20"/>
              </w:rPr>
            </w:pPr>
          </w:p>
        </w:tc>
        <w:tc>
          <w:tcPr>
            <w:tcW w:w="663" w:type="dxa"/>
            <w:shd w:val="clear" w:color="auto" w:fill="auto"/>
            <w:noWrap/>
            <w:vAlign w:val="bottom"/>
            <w:hideMark/>
          </w:tcPr>
          <w:p w14:paraId="5258B2BD" w14:textId="77777777" w:rsidR="00BD4D02" w:rsidRPr="00BD4D02" w:rsidRDefault="00BD4D02" w:rsidP="00BD4D02">
            <w:pPr>
              <w:rPr>
                <w:sz w:val="20"/>
                <w:szCs w:val="20"/>
              </w:rPr>
            </w:pPr>
          </w:p>
        </w:tc>
        <w:tc>
          <w:tcPr>
            <w:tcW w:w="663" w:type="dxa"/>
            <w:shd w:val="clear" w:color="auto" w:fill="auto"/>
            <w:noWrap/>
            <w:vAlign w:val="bottom"/>
            <w:hideMark/>
          </w:tcPr>
          <w:p w14:paraId="2FCDCB30" w14:textId="77777777" w:rsidR="00BD4D02" w:rsidRPr="00BD4D02" w:rsidRDefault="00BD4D02" w:rsidP="00BD4D02">
            <w:pPr>
              <w:rPr>
                <w:sz w:val="20"/>
                <w:szCs w:val="20"/>
              </w:rPr>
            </w:pPr>
          </w:p>
        </w:tc>
        <w:tc>
          <w:tcPr>
            <w:tcW w:w="663" w:type="dxa"/>
            <w:shd w:val="clear" w:color="auto" w:fill="auto"/>
            <w:noWrap/>
            <w:vAlign w:val="bottom"/>
            <w:hideMark/>
          </w:tcPr>
          <w:p w14:paraId="04F8B1B4" w14:textId="77777777" w:rsidR="00BD4D02" w:rsidRPr="00BD4D02" w:rsidRDefault="00BD4D02" w:rsidP="00BD4D02">
            <w:pPr>
              <w:rPr>
                <w:sz w:val="20"/>
                <w:szCs w:val="20"/>
              </w:rPr>
            </w:pPr>
          </w:p>
        </w:tc>
        <w:tc>
          <w:tcPr>
            <w:tcW w:w="663" w:type="dxa"/>
            <w:shd w:val="clear" w:color="auto" w:fill="auto"/>
            <w:noWrap/>
            <w:vAlign w:val="bottom"/>
            <w:hideMark/>
          </w:tcPr>
          <w:p w14:paraId="53C601E2" w14:textId="77777777" w:rsidR="00BD4D02" w:rsidRPr="00BD4D02" w:rsidRDefault="00BD4D02" w:rsidP="00BD4D02">
            <w:pPr>
              <w:rPr>
                <w:sz w:val="20"/>
                <w:szCs w:val="20"/>
              </w:rPr>
            </w:pPr>
          </w:p>
        </w:tc>
        <w:tc>
          <w:tcPr>
            <w:tcW w:w="663" w:type="dxa"/>
            <w:shd w:val="clear" w:color="auto" w:fill="auto"/>
            <w:noWrap/>
            <w:vAlign w:val="bottom"/>
            <w:hideMark/>
          </w:tcPr>
          <w:p w14:paraId="6E431D7B"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6</w:t>
            </w:r>
          </w:p>
        </w:tc>
        <w:tc>
          <w:tcPr>
            <w:tcW w:w="1180" w:type="dxa"/>
            <w:shd w:val="clear" w:color="auto" w:fill="auto"/>
            <w:noWrap/>
            <w:vAlign w:val="bottom"/>
            <w:hideMark/>
          </w:tcPr>
          <w:p w14:paraId="1FCEE47B"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6</w:t>
            </w:r>
          </w:p>
        </w:tc>
      </w:tr>
      <w:tr w:rsidR="00BD4D02" w:rsidRPr="00BD4D02" w14:paraId="20C54EEA" w14:textId="77777777" w:rsidTr="00050580">
        <w:trPr>
          <w:trHeight w:val="144"/>
        </w:trPr>
        <w:tc>
          <w:tcPr>
            <w:tcW w:w="4500" w:type="dxa"/>
            <w:shd w:val="clear" w:color="auto" w:fill="auto"/>
            <w:noWrap/>
            <w:vAlign w:val="bottom"/>
            <w:hideMark/>
          </w:tcPr>
          <w:p w14:paraId="6C77A36C"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Coverage - mobile</w:t>
            </w:r>
          </w:p>
        </w:tc>
        <w:tc>
          <w:tcPr>
            <w:tcW w:w="770" w:type="dxa"/>
            <w:shd w:val="clear" w:color="auto" w:fill="auto"/>
            <w:noWrap/>
            <w:vAlign w:val="bottom"/>
            <w:hideMark/>
          </w:tcPr>
          <w:p w14:paraId="44C54684"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5F2F1F87" w14:textId="77777777" w:rsidR="00BD4D02" w:rsidRPr="00BD4D02" w:rsidRDefault="00BD4D02" w:rsidP="00BD4D02">
            <w:pPr>
              <w:rPr>
                <w:sz w:val="20"/>
                <w:szCs w:val="20"/>
              </w:rPr>
            </w:pPr>
          </w:p>
        </w:tc>
        <w:tc>
          <w:tcPr>
            <w:tcW w:w="663" w:type="dxa"/>
            <w:shd w:val="clear" w:color="auto" w:fill="auto"/>
            <w:noWrap/>
            <w:vAlign w:val="bottom"/>
            <w:hideMark/>
          </w:tcPr>
          <w:p w14:paraId="2DD95543" w14:textId="77777777" w:rsidR="00BD4D02" w:rsidRPr="00BD4D02" w:rsidRDefault="00BD4D02" w:rsidP="00BD4D02">
            <w:pPr>
              <w:rPr>
                <w:sz w:val="20"/>
                <w:szCs w:val="20"/>
              </w:rPr>
            </w:pPr>
          </w:p>
        </w:tc>
        <w:tc>
          <w:tcPr>
            <w:tcW w:w="663" w:type="dxa"/>
            <w:shd w:val="clear" w:color="auto" w:fill="auto"/>
            <w:noWrap/>
            <w:vAlign w:val="bottom"/>
            <w:hideMark/>
          </w:tcPr>
          <w:p w14:paraId="05A8AF4E" w14:textId="77777777" w:rsidR="00BD4D02" w:rsidRPr="00BD4D02" w:rsidRDefault="00BD4D02" w:rsidP="00BD4D02">
            <w:pPr>
              <w:rPr>
                <w:sz w:val="20"/>
                <w:szCs w:val="20"/>
              </w:rPr>
            </w:pPr>
          </w:p>
        </w:tc>
        <w:tc>
          <w:tcPr>
            <w:tcW w:w="663" w:type="dxa"/>
            <w:shd w:val="clear" w:color="auto" w:fill="auto"/>
            <w:noWrap/>
            <w:vAlign w:val="bottom"/>
            <w:hideMark/>
          </w:tcPr>
          <w:p w14:paraId="3359ED26" w14:textId="77777777" w:rsidR="00BD4D02" w:rsidRPr="00BD4D02" w:rsidRDefault="00BD4D02" w:rsidP="00BD4D02">
            <w:pPr>
              <w:rPr>
                <w:sz w:val="20"/>
                <w:szCs w:val="20"/>
              </w:rPr>
            </w:pPr>
          </w:p>
        </w:tc>
        <w:tc>
          <w:tcPr>
            <w:tcW w:w="663" w:type="dxa"/>
            <w:shd w:val="clear" w:color="auto" w:fill="auto"/>
            <w:noWrap/>
            <w:vAlign w:val="bottom"/>
            <w:hideMark/>
          </w:tcPr>
          <w:p w14:paraId="1BEB8BEB" w14:textId="77777777" w:rsidR="00BD4D02" w:rsidRPr="00BD4D02" w:rsidRDefault="00BD4D02" w:rsidP="00BD4D02">
            <w:pPr>
              <w:rPr>
                <w:sz w:val="20"/>
                <w:szCs w:val="20"/>
              </w:rPr>
            </w:pPr>
          </w:p>
        </w:tc>
        <w:tc>
          <w:tcPr>
            <w:tcW w:w="663" w:type="dxa"/>
            <w:shd w:val="clear" w:color="auto" w:fill="auto"/>
            <w:noWrap/>
            <w:vAlign w:val="bottom"/>
            <w:hideMark/>
          </w:tcPr>
          <w:p w14:paraId="36638A4B" w14:textId="77777777" w:rsidR="00BD4D02" w:rsidRPr="00BD4D02" w:rsidRDefault="00BD4D02" w:rsidP="00BD4D02">
            <w:pPr>
              <w:rPr>
                <w:sz w:val="20"/>
                <w:szCs w:val="20"/>
              </w:rPr>
            </w:pPr>
          </w:p>
        </w:tc>
        <w:tc>
          <w:tcPr>
            <w:tcW w:w="663" w:type="dxa"/>
            <w:shd w:val="clear" w:color="auto" w:fill="auto"/>
            <w:noWrap/>
            <w:vAlign w:val="bottom"/>
            <w:hideMark/>
          </w:tcPr>
          <w:p w14:paraId="23BD2382" w14:textId="77777777" w:rsidR="00BD4D02" w:rsidRPr="00BD4D02" w:rsidRDefault="00BD4D02" w:rsidP="00BD4D02">
            <w:pPr>
              <w:rPr>
                <w:sz w:val="20"/>
                <w:szCs w:val="20"/>
              </w:rPr>
            </w:pPr>
          </w:p>
        </w:tc>
        <w:tc>
          <w:tcPr>
            <w:tcW w:w="663" w:type="dxa"/>
            <w:shd w:val="clear" w:color="auto" w:fill="auto"/>
            <w:noWrap/>
            <w:vAlign w:val="bottom"/>
            <w:hideMark/>
          </w:tcPr>
          <w:p w14:paraId="2A07F7E9" w14:textId="77777777" w:rsidR="00BD4D02" w:rsidRPr="00BD4D02" w:rsidRDefault="00BD4D02" w:rsidP="00BD4D02">
            <w:pPr>
              <w:rPr>
                <w:sz w:val="20"/>
                <w:szCs w:val="20"/>
              </w:rPr>
            </w:pPr>
          </w:p>
        </w:tc>
        <w:tc>
          <w:tcPr>
            <w:tcW w:w="663" w:type="dxa"/>
            <w:shd w:val="clear" w:color="auto" w:fill="auto"/>
            <w:noWrap/>
            <w:vAlign w:val="bottom"/>
            <w:hideMark/>
          </w:tcPr>
          <w:p w14:paraId="0EBE7CA4" w14:textId="77777777" w:rsidR="00BD4D02" w:rsidRPr="00BD4D02" w:rsidRDefault="00BD4D02" w:rsidP="00BD4D02">
            <w:pPr>
              <w:rPr>
                <w:sz w:val="20"/>
                <w:szCs w:val="20"/>
              </w:rPr>
            </w:pPr>
          </w:p>
        </w:tc>
        <w:tc>
          <w:tcPr>
            <w:tcW w:w="663" w:type="dxa"/>
            <w:shd w:val="clear" w:color="auto" w:fill="auto"/>
            <w:noWrap/>
            <w:vAlign w:val="bottom"/>
            <w:hideMark/>
          </w:tcPr>
          <w:p w14:paraId="3CC04EA2" w14:textId="77777777" w:rsidR="00BD4D02" w:rsidRPr="00BD4D02" w:rsidRDefault="00BD4D02" w:rsidP="00BD4D02">
            <w:pPr>
              <w:rPr>
                <w:sz w:val="20"/>
                <w:szCs w:val="20"/>
              </w:rPr>
            </w:pPr>
          </w:p>
        </w:tc>
        <w:tc>
          <w:tcPr>
            <w:tcW w:w="663" w:type="dxa"/>
            <w:shd w:val="clear" w:color="auto" w:fill="auto"/>
            <w:noWrap/>
            <w:vAlign w:val="bottom"/>
            <w:hideMark/>
          </w:tcPr>
          <w:p w14:paraId="38957964"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4</w:t>
            </w:r>
          </w:p>
        </w:tc>
        <w:tc>
          <w:tcPr>
            <w:tcW w:w="1180" w:type="dxa"/>
            <w:shd w:val="clear" w:color="auto" w:fill="auto"/>
            <w:noWrap/>
            <w:vAlign w:val="bottom"/>
            <w:hideMark/>
          </w:tcPr>
          <w:p w14:paraId="595EB15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4</w:t>
            </w:r>
          </w:p>
        </w:tc>
      </w:tr>
      <w:tr w:rsidR="00BD4D02" w:rsidRPr="00BD4D02" w14:paraId="32801068" w14:textId="77777777" w:rsidTr="00050580">
        <w:trPr>
          <w:trHeight w:val="144"/>
        </w:trPr>
        <w:tc>
          <w:tcPr>
            <w:tcW w:w="4500" w:type="dxa"/>
            <w:shd w:val="clear" w:color="auto" w:fill="auto"/>
            <w:noWrap/>
            <w:vAlign w:val="bottom"/>
            <w:hideMark/>
          </w:tcPr>
          <w:p w14:paraId="4C711C5B"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Coverage - wireless - facilities-based</w:t>
            </w:r>
          </w:p>
        </w:tc>
        <w:tc>
          <w:tcPr>
            <w:tcW w:w="770" w:type="dxa"/>
            <w:shd w:val="clear" w:color="auto" w:fill="auto"/>
            <w:noWrap/>
            <w:vAlign w:val="bottom"/>
            <w:hideMark/>
          </w:tcPr>
          <w:p w14:paraId="2A59B57D"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4E943B80" w14:textId="77777777" w:rsidR="00BD4D02" w:rsidRPr="00BD4D02" w:rsidRDefault="00BD4D02" w:rsidP="00BD4D02">
            <w:pPr>
              <w:rPr>
                <w:sz w:val="20"/>
                <w:szCs w:val="20"/>
              </w:rPr>
            </w:pPr>
          </w:p>
        </w:tc>
        <w:tc>
          <w:tcPr>
            <w:tcW w:w="663" w:type="dxa"/>
            <w:shd w:val="clear" w:color="auto" w:fill="auto"/>
            <w:noWrap/>
            <w:vAlign w:val="bottom"/>
            <w:hideMark/>
          </w:tcPr>
          <w:p w14:paraId="27BB7518" w14:textId="77777777" w:rsidR="00BD4D02" w:rsidRPr="00BD4D02" w:rsidRDefault="00BD4D02" w:rsidP="00BD4D02">
            <w:pPr>
              <w:rPr>
                <w:sz w:val="20"/>
                <w:szCs w:val="20"/>
              </w:rPr>
            </w:pPr>
          </w:p>
        </w:tc>
        <w:tc>
          <w:tcPr>
            <w:tcW w:w="663" w:type="dxa"/>
            <w:shd w:val="clear" w:color="auto" w:fill="auto"/>
            <w:noWrap/>
            <w:vAlign w:val="bottom"/>
            <w:hideMark/>
          </w:tcPr>
          <w:p w14:paraId="5D87DA28" w14:textId="77777777" w:rsidR="00BD4D02" w:rsidRPr="00BD4D02" w:rsidRDefault="00BD4D02" w:rsidP="00BD4D02">
            <w:pPr>
              <w:rPr>
                <w:sz w:val="20"/>
                <w:szCs w:val="20"/>
              </w:rPr>
            </w:pPr>
          </w:p>
        </w:tc>
        <w:tc>
          <w:tcPr>
            <w:tcW w:w="663" w:type="dxa"/>
            <w:shd w:val="clear" w:color="auto" w:fill="auto"/>
            <w:noWrap/>
            <w:vAlign w:val="bottom"/>
            <w:hideMark/>
          </w:tcPr>
          <w:p w14:paraId="3FC91276"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1FD62238"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74EB80A7" w14:textId="77777777" w:rsidR="00BD4D02" w:rsidRPr="00BD4D02" w:rsidRDefault="00BD4D02" w:rsidP="00BD4D02">
            <w:pPr>
              <w:rPr>
                <w:sz w:val="20"/>
                <w:szCs w:val="20"/>
              </w:rPr>
            </w:pPr>
          </w:p>
        </w:tc>
        <w:tc>
          <w:tcPr>
            <w:tcW w:w="663" w:type="dxa"/>
            <w:shd w:val="clear" w:color="auto" w:fill="auto"/>
            <w:noWrap/>
            <w:vAlign w:val="bottom"/>
            <w:hideMark/>
          </w:tcPr>
          <w:p w14:paraId="09B37D5C" w14:textId="77777777" w:rsidR="00BD4D02" w:rsidRPr="00BD4D02" w:rsidRDefault="00BD4D02" w:rsidP="00BD4D02">
            <w:pPr>
              <w:rPr>
                <w:sz w:val="20"/>
                <w:szCs w:val="20"/>
              </w:rPr>
            </w:pPr>
          </w:p>
        </w:tc>
        <w:tc>
          <w:tcPr>
            <w:tcW w:w="663" w:type="dxa"/>
            <w:shd w:val="clear" w:color="auto" w:fill="auto"/>
            <w:noWrap/>
            <w:vAlign w:val="bottom"/>
            <w:hideMark/>
          </w:tcPr>
          <w:p w14:paraId="45DCDB1C" w14:textId="77777777" w:rsidR="00BD4D02" w:rsidRPr="00BD4D02" w:rsidRDefault="00BD4D02" w:rsidP="00BD4D02">
            <w:pPr>
              <w:rPr>
                <w:sz w:val="20"/>
                <w:szCs w:val="20"/>
              </w:rPr>
            </w:pPr>
          </w:p>
        </w:tc>
        <w:tc>
          <w:tcPr>
            <w:tcW w:w="663" w:type="dxa"/>
            <w:shd w:val="clear" w:color="auto" w:fill="auto"/>
            <w:noWrap/>
            <w:vAlign w:val="bottom"/>
            <w:hideMark/>
          </w:tcPr>
          <w:p w14:paraId="44CE8CD9" w14:textId="77777777" w:rsidR="00BD4D02" w:rsidRPr="00BD4D02" w:rsidRDefault="00BD4D02" w:rsidP="00BD4D02">
            <w:pPr>
              <w:rPr>
                <w:sz w:val="20"/>
                <w:szCs w:val="20"/>
              </w:rPr>
            </w:pPr>
          </w:p>
        </w:tc>
        <w:tc>
          <w:tcPr>
            <w:tcW w:w="663" w:type="dxa"/>
            <w:shd w:val="clear" w:color="auto" w:fill="auto"/>
            <w:noWrap/>
            <w:vAlign w:val="bottom"/>
            <w:hideMark/>
          </w:tcPr>
          <w:p w14:paraId="42FE4C34" w14:textId="77777777" w:rsidR="00BD4D02" w:rsidRPr="00BD4D02" w:rsidRDefault="00BD4D02" w:rsidP="00BD4D02">
            <w:pPr>
              <w:rPr>
                <w:sz w:val="20"/>
                <w:szCs w:val="20"/>
              </w:rPr>
            </w:pPr>
          </w:p>
        </w:tc>
        <w:tc>
          <w:tcPr>
            <w:tcW w:w="663" w:type="dxa"/>
            <w:shd w:val="clear" w:color="auto" w:fill="auto"/>
            <w:noWrap/>
            <w:vAlign w:val="bottom"/>
            <w:hideMark/>
          </w:tcPr>
          <w:p w14:paraId="30BE4BE5" w14:textId="77777777" w:rsidR="00BD4D02" w:rsidRPr="00BD4D02" w:rsidRDefault="00BD4D02" w:rsidP="00BD4D02">
            <w:pPr>
              <w:rPr>
                <w:sz w:val="20"/>
                <w:szCs w:val="20"/>
              </w:rPr>
            </w:pPr>
          </w:p>
        </w:tc>
        <w:tc>
          <w:tcPr>
            <w:tcW w:w="1180" w:type="dxa"/>
            <w:shd w:val="clear" w:color="auto" w:fill="auto"/>
            <w:noWrap/>
            <w:vAlign w:val="bottom"/>
            <w:hideMark/>
          </w:tcPr>
          <w:p w14:paraId="0F726457"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643CB064" w14:textId="77777777" w:rsidTr="00050580">
        <w:trPr>
          <w:trHeight w:val="144"/>
        </w:trPr>
        <w:tc>
          <w:tcPr>
            <w:tcW w:w="4500" w:type="dxa"/>
            <w:shd w:val="clear" w:color="auto" w:fill="auto"/>
            <w:noWrap/>
            <w:vAlign w:val="bottom"/>
            <w:hideMark/>
          </w:tcPr>
          <w:p w14:paraId="76024576"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Data - speed - broadband - mobile</w:t>
            </w:r>
          </w:p>
        </w:tc>
        <w:tc>
          <w:tcPr>
            <w:tcW w:w="770" w:type="dxa"/>
            <w:shd w:val="clear" w:color="auto" w:fill="auto"/>
            <w:noWrap/>
            <w:vAlign w:val="bottom"/>
            <w:hideMark/>
          </w:tcPr>
          <w:p w14:paraId="502FBE58"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52A6272F" w14:textId="77777777" w:rsidR="00BD4D02" w:rsidRPr="00BD4D02" w:rsidRDefault="00BD4D02" w:rsidP="00BD4D02">
            <w:pPr>
              <w:rPr>
                <w:sz w:val="20"/>
                <w:szCs w:val="20"/>
              </w:rPr>
            </w:pPr>
          </w:p>
        </w:tc>
        <w:tc>
          <w:tcPr>
            <w:tcW w:w="663" w:type="dxa"/>
            <w:shd w:val="clear" w:color="auto" w:fill="auto"/>
            <w:noWrap/>
            <w:vAlign w:val="bottom"/>
            <w:hideMark/>
          </w:tcPr>
          <w:p w14:paraId="4B3A2185" w14:textId="77777777" w:rsidR="00BD4D02" w:rsidRPr="00BD4D02" w:rsidRDefault="00BD4D02" w:rsidP="00BD4D02">
            <w:pPr>
              <w:rPr>
                <w:sz w:val="20"/>
                <w:szCs w:val="20"/>
              </w:rPr>
            </w:pPr>
          </w:p>
        </w:tc>
        <w:tc>
          <w:tcPr>
            <w:tcW w:w="663" w:type="dxa"/>
            <w:shd w:val="clear" w:color="auto" w:fill="auto"/>
            <w:noWrap/>
            <w:vAlign w:val="bottom"/>
            <w:hideMark/>
          </w:tcPr>
          <w:p w14:paraId="1024D74B" w14:textId="77777777" w:rsidR="00BD4D02" w:rsidRPr="00BD4D02" w:rsidRDefault="00BD4D02" w:rsidP="00BD4D02">
            <w:pPr>
              <w:rPr>
                <w:sz w:val="20"/>
                <w:szCs w:val="20"/>
              </w:rPr>
            </w:pPr>
          </w:p>
        </w:tc>
        <w:tc>
          <w:tcPr>
            <w:tcW w:w="663" w:type="dxa"/>
            <w:shd w:val="clear" w:color="auto" w:fill="auto"/>
            <w:noWrap/>
            <w:vAlign w:val="bottom"/>
            <w:hideMark/>
          </w:tcPr>
          <w:p w14:paraId="706401E7" w14:textId="77777777" w:rsidR="00BD4D02" w:rsidRPr="00BD4D02" w:rsidRDefault="00BD4D02" w:rsidP="00BD4D02">
            <w:pPr>
              <w:rPr>
                <w:sz w:val="20"/>
                <w:szCs w:val="20"/>
              </w:rPr>
            </w:pPr>
          </w:p>
        </w:tc>
        <w:tc>
          <w:tcPr>
            <w:tcW w:w="663" w:type="dxa"/>
            <w:shd w:val="clear" w:color="auto" w:fill="auto"/>
            <w:noWrap/>
            <w:vAlign w:val="bottom"/>
            <w:hideMark/>
          </w:tcPr>
          <w:p w14:paraId="47A9FAD2" w14:textId="77777777" w:rsidR="00BD4D02" w:rsidRPr="00BD4D02" w:rsidRDefault="00BD4D02" w:rsidP="00BD4D02">
            <w:pPr>
              <w:rPr>
                <w:sz w:val="20"/>
                <w:szCs w:val="20"/>
              </w:rPr>
            </w:pPr>
          </w:p>
        </w:tc>
        <w:tc>
          <w:tcPr>
            <w:tcW w:w="663" w:type="dxa"/>
            <w:shd w:val="clear" w:color="auto" w:fill="auto"/>
            <w:noWrap/>
            <w:vAlign w:val="bottom"/>
            <w:hideMark/>
          </w:tcPr>
          <w:p w14:paraId="5F082686"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56BAD385"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58518449"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4A4CBEBC" w14:textId="77777777" w:rsidR="00BD4D02" w:rsidRPr="00BD4D02" w:rsidRDefault="00BD4D02" w:rsidP="00BD4D02">
            <w:pPr>
              <w:rPr>
                <w:sz w:val="20"/>
                <w:szCs w:val="20"/>
              </w:rPr>
            </w:pPr>
          </w:p>
        </w:tc>
        <w:tc>
          <w:tcPr>
            <w:tcW w:w="663" w:type="dxa"/>
            <w:shd w:val="clear" w:color="auto" w:fill="auto"/>
            <w:noWrap/>
            <w:vAlign w:val="bottom"/>
            <w:hideMark/>
          </w:tcPr>
          <w:p w14:paraId="7D3E0072" w14:textId="77777777" w:rsidR="00BD4D02" w:rsidRPr="00BD4D02" w:rsidRDefault="00BD4D02" w:rsidP="00BD4D02">
            <w:pPr>
              <w:rPr>
                <w:sz w:val="20"/>
                <w:szCs w:val="20"/>
              </w:rPr>
            </w:pPr>
          </w:p>
        </w:tc>
        <w:tc>
          <w:tcPr>
            <w:tcW w:w="663" w:type="dxa"/>
            <w:shd w:val="clear" w:color="auto" w:fill="auto"/>
            <w:noWrap/>
            <w:vAlign w:val="bottom"/>
            <w:hideMark/>
          </w:tcPr>
          <w:p w14:paraId="4EA40090" w14:textId="77777777" w:rsidR="00BD4D02" w:rsidRPr="00BD4D02" w:rsidRDefault="00BD4D02" w:rsidP="00BD4D02">
            <w:pPr>
              <w:rPr>
                <w:sz w:val="20"/>
                <w:szCs w:val="20"/>
              </w:rPr>
            </w:pPr>
          </w:p>
        </w:tc>
        <w:tc>
          <w:tcPr>
            <w:tcW w:w="1180" w:type="dxa"/>
            <w:shd w:val="clear" w:color="auto" w:fill="auto"/>
            <w:noWrap/>
            <w:vAlign w:val="bottom"/>
            <w:hideMark/>
          </w:tcPr>
          <w:p w14:paraId="04B6649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w:t>
            </w:r>
          </w:p>
        </w:tc>
      </w:tr>
      <w:tr w:rsidR="00BD4D02" w:rsidRPr="00BD4D02" w14:paraId="7003E5C4" w14:textId="77777777" w:rsidTr="00050580">
        <w:trPr>
          <w:trHeight w:val="144"/>
        </w:trPr>
        <w:tc>
          <w:tcPr>
            <w:tcW w:w="4500" w:type="dxa"/>
            <w:shd w:val="clear" w:color="auto" w:fill="auto"/>
            <w:noWrap/>
            <w:vAlign w:val="bottom"/>
            <w:hideMark/>
          </w:tcPr>
          <w:p w14:paraId="0747E27E"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Data - speed - broadband - wireline</w:t>
            </w:r>
          </w:p>
        </w:tc>
        <w:tc>
          <w:tcPr>
            <w:tcW w:w="770" w:type="dxa"/>
            <w:shd w:val="clear" w:color="auto" w:fill="auto"/>
            <w:noWrap/>
            <w:vAlign w:val="bottom"/>
            <w:hideMark/>
          </w:tcPr>
          <w:p w14:paraId="6BC8C068"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0F8A3E4F" w14:textId="77777777" w:rsidR="00BD4D02" w:rsidRPr="00BD4D02" w:rsidRDefault="00BD4D02" w:rsidP="00BD4D02">
            <w:pPr>
              <w:rPr>
                <w:sz w:val="20"/>
                <w:szCs w:val="20"/>
              </w:rPr>
            </w:pPr>
          </w:p>
        </w:tc>
        <w:tc>
          <w:tcPr>
            <w:tcW w:w="663" w:type="dxa"/>
            <w:shd w:val="clear" w:color="auto" w:fill="auto"/>
            <w:noWrap/>
            <w:vAlign w:val="bottom"/>
            <w:hideMark/>
          </w:tcPr>
          <w:p w14:paraId="45851F29" w14:textId="77777777" w:rsidR="00BD4D02" w:rsidRPr="00BD4D02" w:rsidRDefault="00BD4D02" w:rsidP="00BD4D02">
            <w:pPr>
              <w:rPr>
                <w:sz w:val="20"/>
                <w:szCs w:val="20"/>
              </w:rPr>
            </w:pPr>
          </w:p>
        </w:tc>
        <w:tc>
          <w:tcPr>
            <w:tcW w:w="663" w:type="dxa"/>
            <w:shd w:val="clear" w:color="auto" w:fill="auto"/>
            <w:noWrap/>
            <w:vAlign w:val="bottom"/>
            <w:hideMark/>
          </w:tcPr>
          <w:p w14:paraId="1F094628" w14:textId="77777777" w:rsidR="00BD4D02" w:rsidRPr="00BD4D02" w:rsidRDefault="00BD4D02" w:rsidP="00BD4D02">
            <w:pPr>
              <w:rPr>
                <w:sz w:val="20"/>
                <w:szCs w:val="20"/>
              </w:rPr>
            </w:pPr>
          </w:p>
        </w:tc>
        <w:tc>
          <w:tcPr>
            <w:tcW w:w="663" w:type="dxa"/>
            <w:shd w:val="clear" w:color="auto" w:fill="auto"/>
            <w:noWrap/>
            <w:vAlign w:val="bottom"/>
            <w:hideMark/>
          </w:tcPr>
          <w:p w14:paraId="41D53357" w14:textId="77777777" w:rsidR="00BD4D02" w:rsidRPr="00BD4D02" w:rsidRDefault="00BD4D02" w:rsidP="00BD4D02">
            <w:pPr>
              <w:rPr>
                <w:sz w:val="20"/>
                <w:szCs w:val="20"/>
              </w:rPr>
            </w:pPr>
          </w:p>
        </w:tc>
        <w:tc>
          <w:tcPr>
            <w:tcW w:w="663" w:type="dxa"/>
            <w:shd w:val="clear" w:color="auto" w:fill="auto"/>
            <w:noWrap/>
            <w:vAlign w:val="bottom"/>
            <w:hideMark/>
          </w:tcPr>
          <w:p w14:paraId="2B1F5D09" w14:textId="77777777" w:rsidR="00BD4D02" w:rsidRPr="00BD4D02" w:rsidRDefault="00BD4D02" w:rsidP="00BD4D02">
            <w:pPr>
              <w:rPr>
                <w:sz w:val="20"/>
                <w:szCs w:val="20"/>
              </w:rPr>
            </w:pPr>
          </w:p>
        </w:tc>
        <w:tc>
          <w:tcPr>
            <w:tcW w:w="663" w:type="dxa"/>
            <w:shd w:val="clear" w:color="auto" w:fill="auto"/>
            <w:noWrap/>
            <w:vAlign w:val="bottom"/>
            <w:hideMark/>
          </w:tcPr>
          <w:p w14:paraId="6D40E03C"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6CE73FF3"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7E8D4BAE" w14:textId="77777777" w:rsidR="00BD4D02" w:rsidRPr="00BD4D02" w:rsidRDefault="00BD4D02" w:rsidP="00BD4D02">
            <w:pPr>
              <w:rPr>
                <w:sz w:val="20"/>
                <w:szCs w:val="20"/>
              </w:rPr>
            </w:pPr>
          </w:p>
        </w:tc>
        <w:tc>
          <w:tcPr>
            <w:tcW w:w="663" w:type="dxa"/>
            <w:shd w:val="clear" w:color="auto" w:fill="auto"/>
            <w:noWrap/>
            <w:vAlign w:val="bottom"/>
            <w:hideMark/>
          </w:tcPr>
          <w:p w14:paraId="0D9D3C8A" w14:textId="77777777" w:rsidR="00BD4D02" w:rsidRPr="00BD4D02" w:rsidRDefault="00BD4D02" w:rsidP="00BD4D02">
            <w:pPr>
              <w:rPr>
                <w:sz w:val="20"/>
                <w:szCs w:val="20"/>
              </w:rPr>
            </w:pPr>
          </w:p>
        </w:tc>
        <w:tc>
          <w:tcPr>
            <w:tcW w:w="663" w:type="dxa"/>
            <w:shd w:val="clear" w:color="auto" w:fill="auto"/>
            <w:noWrap/>
            <w:vAlign w:val="bottom"/>
            <w:hideMark/>
          </w:tcPr>
          <w:p w14:paraId="64282404" w14:textId="77777777" w:rsidR="00BD4D02" w:rsidRPr="00BD4D02" w:rsidRDefault="00BD4D02" w:rsidP="00BD4D02">
            <w:pPr>
              <w:rPr>
                <w:sz w:val="20"/>
                <w:szCs w:val="20"/>
              </w:rPr>
            </w:pPr>
          </w:p>
        </w:tc>
        <w:tc>
          <w:tcPr>
            <w:tcW w:w="663" w:type="dxa"/>
            <w:shd w:val="clear" w:color="auto" w:fill="auto"/>
            <w:noWrap/>
            <w:vAlign w:val="bottom"/>
            <w:hideMark/>
          </w:tcPr>
          <w:p w14:paraId="72FA9BE5" w14:textId="77777777" w:rsidR="00BD4D02" w:rsidRPr="00BD4D02" w:rsidRDefault="00BD4D02" w:rsidP="00BD4D02">
            <w:pPr>
              <w:rPr>
                <w:sz w:val="20"/>
                <w:szCs w:val="20"/>
              </w:rPr>
            </w:pPr>
          </w:p>
        </w:tc>
        <w:tc>
          <w:tcPr>
            <w:tcW w:w="1180" w:type="dxa"/>
            <w:shd w:val="clear" w:color="auto" w:fill="auto"/>
            <w:noWrap/>
            <w:vAlign w:val="bottom"/>
            <w:hideMark/>
          </w:tcPr>
          <w:p w14:paraId="133B965B"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04079DD3" w14:textId="77777777" w:rsidTr="00050580">
        <w:trPr>
          <w:trHeight w:val="144"/>
        </w:trPr>
        <w:tc>
          <w:tcPr>
            <w:tcW w:w="4500" w:type="dxa"/>
            <w:shd w:val="clear" w:color="auto" w:fill="auto"/>
            <w:noWrap/>
            <w:vAlign w:val="bottom"/>
            <w:hideMark/>
          </w:tcPr>
          <w:p w14:paraId="60927FB2"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DS3</w:t>
            </w:r>
          </w:p>
        </w:tc>
        <w:tc>
          <w:tcPr>
            <w:tcW w:w="770" w:type="dxa"/>
            <w:shd w:val="clear" w:color="auto" w:fill="auto"/>
            <w:noWrap/>
            <w:vAlign w:val="bottom"/>
            <w:hideMark/>
          </w:tcPr>
          <w:p w14:paraId="6F39B44A"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13C678EA" w14:textId="77777777" w:rsidR="00BD4D02" w:rsidRPr="00BD4D02" w:rsidRDefault="00BD4D02" w:rsidP="00BD4D02">
            <w:pPr>
              <w:rPr>
                <w:sz w:val="20"/>
                <w:szCs w:val="20"/>
              </w:rPr>
            </w:pPr>
          </w:p>
        </w:tc>
        <w:tc>
          <w:tcPr>
            <w:tcW w:w="663" w:type="dxa"/>
            <w:shd w:val="clear" w:color="auto" w:fill="auto"/>
            <w:noWrap/>
            <w:vAlign w:val="bottom"/>
            <w:hideMark/>
          </w:tcPr>
          <w:p w14:paraId="40197091" w14:textId="77777777" w:rsidR="00BD4D02" w:rsidRPr="00BD4D02" w:rsidRDefault="00BD4D02" w:rsidP="00BD4D02">
            <w:pPr>
              <w:rPr>
                <w:sz w:val="20"/>
                <w:szCs w:val="20"/>
              </w:rPr>
            </w:pPr>
          </w:p>
        </w:tc>
        <w:tc>
          <w:tcPr>
            <w:tcW w:w="663" w:type="dxa"/>
            <w:shd w:val="clear" w:color="auto" w:fill="auto"/>
            <w:noWrap/>
            <w:vAlign w:val="bottom"/>
            <w:hideMark/>
          </w:tcPr>
          <w:p w14:paraId="2B003010"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414090EE"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6504E05D" w14:textId="77777777" w:rsidR="00BD4D02" w:rsidRPr="00BD4D02" w:rsidRDefault="00BD4D02" w:rsidP="00BD4D02">
            <w:pPr>
              <w:rPr>
                <w:sz w:val="20"/>
                <w:szCs w:val="20"/>
              </w:rPr>
            </w:pPr>
          </w:p>
        </w:tc>
        <w:tc>
          <w:tcPr>
            <w:tcW w:w="663" w:type="dxa"/>
            <w:shd w:val="clear" w:color="auto" w:fill="auto"/>
            <w:noWrap/>
            <w:vAlign w:val="bottom"/>
            <w:hideMark/>
          </w:tcPr>
          <w:p w14:paraId="07202AD4" w14:textId="77777777" w:rsidR="00BD4D02" w:rsidRPr="00BD4D02" w:rsidRDefault="00BD4D02" w:rsidP="00BD4D02">
            <w:pPr>
              <w:rPr>
                <w:sz w:val="20"/>
                <w:szCs w:val="20"/>
              </w:rPr>
            </w:pPr>
          </w:p>
        </w:tc>
        <w:tc>
          <w:tcPr>
            <w:tcW w:w="663" w:type="dxa"/>
            <w:shd w:val="clear" w:color="auto" w:fill="auto"/>
            <w:noWrap/>
            <w:vAlign w:val="bottom"/>
            <w:hideMark/>
          </w:tcPr>
          <w:p w14:paraId="7817AEB9" w14:textId="77777777" w:rsidR="00BD4D02" w:rsidRPr="00BD4D02" w:rsidRDefault="00BD4D02" w:rsidP="00BD4D02">
            <w:pPr>
              <w:rPr>
                <w:sz w:val="20"/>
                <w:szCs w:val="20"/>
              </w:rPr>
            </w:pPr>
          </w:p>
        </w:tc>
        <w:tc>
          <w:tcPr>
            <w:tcW w:w="663" w:type="dxa"/>
            <w:shd w:val="clear" w:color="auto" w:fill="auto"/>
            <w:noWrap/>
            <w:vAlign w:val="bottom"/>
            <w:hideMark/>
          </w:tcPr>
          <w:p w14:paraId="3F96F9C0" w14:textId="77777777" w:rsidR="00BD4D02" w:rsidRPr="00BD4D02" w:rsidRDefault="00BD4D02" w:rsidP="00BD4D02">
            <w:pPr>
              <w:rPr>
                <w:sz w:val="20"/>
                <w:szCs w:val="20"/>
              </w:rPr>
            </w:pPr>
          </w:p>
        </w:tc>
        <w:tc>
          <w:tcPr>
            <w:tcW w:w="663" w:type="dxa"/>
            <w:shd w:val="clear" w:color="auto" w:fill="auto"/>
            <w:noWrap/>
            <w:vAlign w:val="bottom"/>
            <w:hideMark/>
          </w:tcPr>
          <w:p w14:paraId="1DF80F0C" w14:textId="77777777" w:rsidR="00BD4D02" w:rsidRPr="00BD4D02" w:rsidRDefault="00BD4D02" w:rsidP="00BD4D02">
            <w:pPr>
              <w:rPr>
                <w:sz w:val="20"/>
                <w:szCs w:val="20"/>
              </w:rPr>
            </w:pPr>
          </w:p>
        </w:tc>
        <w:tc>
          <w:tcPr>
            <w:tcW w:w="663" w:type="dxa"/>
            <w:shd w:val="clear" w:color="auto" w:fill="auto"/>
            <w:noWrap/>
            <w:vAlign w:val="bottom"/>
            <w:hideMark/>
          </w:tcPr>
          <w:p w14:paraId="50660019" w14:textId="77777777" w:rsidR="00BD4D02" w:rsidRPr="00BD4D02" w:rsidRDefault="00BD4D02" w:rsidP="00BD4D02">
            <w:pPr>
              <w:rPr>
                <w:sz w:val="20"/>
                <w:szCs w:val="20"/>
              </w:rPr>
            </w:pPr>
          </w:p>
        </w:tc>
        <w:tc>
          <w:tcPr>
            <w:tcW w:w="663" w:type="dxa"/>
            <w:shd w:val="clear" w:color="auto" w:fill="auto"/>
            <w:noWrap/>
            <w:vAlign w:val="bottom"/>
            <w:hideMark/>
          </w:tcPr>
          <w:p w14:paraId="741E9685" w14:textId="77777777" w:rsidR="00BD4D02" w:rsidRPr="00BD4D02" w:rsidRDefault="00BD4D02" w:rsidP="00BD4D02">
            <w:pPr>
              <w:rPr>
                <w:sz w:val="20"/>
                <w:szCs w:val="20"/>
              </w:rPr>
            </w:pPr>
          </w:p>
        </w:tc>
        <w:tc>
          <w:tcPr>
            <w:tcW w:w="1180" w:type="dxa"/>
            <w:shd w:val="clear" w:color="auto" w:fill="auto"/>
            <w:noWrap/>
            <w:vAlign w:val="bottom"/>
            <w:hideMark/>
          </w:tcPr>
          <w:p w14:paraId="54816B8B"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6EF03FD8" w14:textId="77777777" w:rsidTr="00050580">
        <w:trPr>
          <w:trHeight w:val="144"/>
        </w:trPr>
        <w:tc>
          <w:tcPr>
            <w:tcW w:w="4500" w:type="dxa"/>
            <w:shd w:val="clear" w:color="auto" w:fill="auto"/>
            <w:noWrap/>
            <w:vAlign w:val="bottom"/>
            <w:hideMark/>
          </w:tcPr>
          <w:p w14:paraId="333E5177"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Fixed vs mobile</w:t>
            </w:r>
          </w:p>
        </w:tc>
        <w:tc>
          <w:tcPr>
            <w:tcW w:w="770" w:type="dxa"/>
            <w:shd w:val="clear" w:color="auto" w:fill="auto"/>
            <w:noWrap/>
            <w:vAlign w:val="bottom"/>
            <w:hideMark/>
          </w:tcPr>
          <w:p w14:paraId="78C80357"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2C351AE4"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0C556117" w14:textId="77777777" w:rsidR="00BD4D02" w:rsidRPr="00BD4D02" w:rsidRDefault="00BD4D02" w:rsidP="00BD4D02">
            <w:pPr>
              <w:rPr>
                <w:sz w:val="20"/>
                <w:szCs w:val="20"/>
              </w:rPr>
            </w:pPr>
          </w:p>
        </w:tc>
        <w:tc>
          <w:tcPr>
            <w:tcW w:w="663" w:type="dxa"/>
            <w:shd w:val="clear" w:color="auto" w:fill="auto"/>
            <w:noWrap/>
            <w:vAlign w:val="bottom"/>
            <w:hideMark/>
          </w:tcPr>
          <w:p w14:paraId="427A750A" w14:textId="77777777" w:rsidR="00BD4D02" w:rsidRPr="00BD4D02" w:rsidRDefault="00BD4D02" w:rsidP="00BD4D02">
            <w:pPr>
              <w:rPr>
                <w:sz w:val="20"/>
                <w:szCs w:val="20"/>
              </w:rPr>
            </w:pPr>
          </w:p>
        </w:tc>
        <w:tc>
          <w:tcPr>
            <w:tcW w:w="663" w:type="dxa"/>
            <w:shd w:val="clear" w:color="auto" w:fill="auto"/>
            <w:noWrap/>
            <w:vAlign w:val="bottom"/>
            <w:hideMark/>
          </w:tcPr>
          <w:p w14:paraId="6EE8D79F" w14:textId="77777777" w:rsidR="00BD4D02" w:rsidRPr="00BD4D02" w:rsidRDefault="00BD4D02" w:rsidP="00BD4D02">
            <w:pPr>
              <w:rPr>
                <w:sz w:val="20"/>
                <w:szCs w:val="20"/>
              </w:rPr>
            </w:pPr>
          </w:p>
        </w:tc>
        <w:tc>
          <w:tcPr>
            <w:tcW w:w="663" w:type="dxa"/>
            <w:shd w:val="clear" w:color="auto" w:fill="auto"/>
            <w:noWrap/>
            <w:vAlign w:val="bottom"/>
            <w:hideMark/>
          </w:tcPr>
          <w:p w14:paraId="75A4EA8A" w14:textId="77777777" w:rsidR="00BD4D02" w:rsidRPr="00BD4D02" w:rsidRDefault="00BD4D02" w:rsidP="00BD4D02">
            <w:pPr>
              <w:rPr>
                <w:sz w:val="20"/>
                <w:szCs w:val="20"/>
              </w:rPr>
            </w:pPr>
          </w:p>
        </w:tc>
        <w:tc>
          <w:tcPr>
            <w:tcW w:w="663" w:type="dxa"/>
            <w:shd w:val="clear" w:color="auto" w:fill="auto"/>
            <w:noWrap/>
            <w:vAlign w:val="bottom"/>
            <w:hideMark/>
          </w:tcPr>
          <w:p w14:paraId="52C6B308" w14:textId="77777777" w:rsidR="00BD4D02" w:rsidRPr="00BD4D02" w:rsidRDefault="00BD4D02" w:rsidP="00BD4D02">
            <w:pPr>
              <w:rPr>
                <w:sz w:val="20"/>
                <w:szCs w:val="20"/>
              </w:rPr>
            </w:pPr>
          </w:p>
        </w:tc>
        <w:tc>
          <w:tcPr>
            <w:tcW w:w="663" w:type="dxa"/>
            <w:shd w:val="clear" w:color="auto" w:fill="auto"/>
            <w:noWrap/>
            <w:vAlign w:val="bottom"/>
            <w:hideMark/>
          </w:tcPr>
          <w:p w14:paraId="2BCF2056" w14:textId="77777777" w:rsidR="00BD4D02" w:rsidRPr="00BD4D02" w:rsidRDefault="00BD4D02" w:rsidP="00BD4D02">
            <w:pPr>
              <w:rPr>
                <w:sz w:val="20"/>
                <w:szCs w:val="20"/>
              </w:rPr>
            </w:pPr>
          </w:p>
        </w:tc>
        <w:tc>
          <w:tcPr>
            <w:tcW w:w="663" w:type="dxa"/>
            <w:shd w:val="clear" w:color="auto" w:fill="auto"/>
            <w:noWrap/>
            <w:vAlign w:val="bottom"/>
            <w:hideMark/>
          </w:tcPr>
          <w:p w14:paraId="44184255" w14:textId="77777777" w:rsidR="00BD4D02" w:rsidRPr="00BD4D02" w:rsidRDefault="00BD4D02" w:rsidP="00BD4D02">
            <w:pPr>
              <w:rPr>
                <w:sz w:val="20"/>
                <w:szCs w:val="20"/>
              </w:rPr>
            </w:pPr>
          </w:p>
        </w:tc>
        <w:tc>
          <w:tcPr>
            <w:tcW w:w="663" w:type="dxa"/>
            <w:shd w:val="clear" w:color="auto" w:fill="auto"/>
            <w:noWrap/>
            <w:vAlign w:val="bottom"/>
            <w:hideMark/>
          </w:tcPr>
          <w:p w14:paraId="71B58E78" w14:textId="77777777" w:rsidR="00BD4D02" w:rsidRPr="00BD4D02" w:rsidRDefault="00BD4D02" w:rsidP="00BD4D02">
            <w:pPr>
              <w:rPr>
                <w:sz w:val="20"/>
                <w:szCs w:val="20"/>
              </w:rPr>
            </w:pPr>
          </w:p>
        </w:tc>
        <w:tc>
          <w:tcPr>
            <w:tcW w:w="663" w:type="dxa"/>
            <w:shd w:val="clear" w:color="auto" w:fill="auto"/>
            <w:noWrap/>
            <w:vAlign w:val="bottom"/>
            <w:hideMark/>
          </w:tcPr>
          <w:p w14:paraId="5D277865" w14:textId="77777777" w:rsidR="00BD4D02" w:rsidRPr="00BD4D02" w:rsidRDefault="00BD4D02" w:rsidP="00BD4D02">
            <w:pPr>
              <w:rPr>
                <w:sz w:val="20"/>
                <w:szCs w:val="20"/>
              </w:rPr>
            </w:pPr>
          </w:p>
        </w:tc>
        <w:tc>
          <w:tcPr>
            <w:tcW w:w="663" w:type="dxa"/>
            <w:shd w:val="clear" w:color="auto" w:fill="auto"/>
            <w:noWrap/>
            <w:vAlign w:val="bottom"/>
            <w:hideMark/>
          </w:tcPr>
          <w:p w14:paraId="4E429C9F" w14:textId="77777777" w:rsidR="00BD4D02" w:rsidRPr="00BD4D02" w:rsidRDefault="00BD4D02" w:rsidP="00BD4D02">
            <w:pPr>
              <w:rPr>
                <w:sz w:val="20"/>
                <w:szCs w:val="20"/>
              </w:rPr>
            </w:pPr>
          </w:p>
        </w:tc>
        <w:tc>
          <w:tcPr>
            <w:tcW w:w="1180" w:type="dxa"/>
            <w:shd w:val="clear" w:color="auto" w:fill="auto"/>
            <w:noWrap/>
            <w:vAlign w:val="bottom"/>
            <w:hideMark/>
          </w:tcPr>
          <w:p w14:paraId="6C7F691C"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318482E2" w14:textId="77777777" w:rsidTr="00050580">
        <w:trPr>
          <w:trHeight w:val="144"/>
        </w:trPr>
        <w:tc>
          <w:tcPr>
            <w:tcW w:w="4500" w:type="dxa"/>
            <w:shd w:val="clear" w:color="auto" w:fill="auto"/>
            <w:noWrap/>
            <w:vAlign w:val="bottom"/>
            <w:hideMark/>
          </w:tcPr>
          <w:p w14:paraId="11CE383C"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High-speed DSL, cable</w:t>
            </w:r>
          </w:p>
        </w:tc>
        <w:tc>
          <w:tcPr>
            <w:tcW w:w="770" w:type="dxa"/>
            <w:shd w:val="clear" w:color="auto" w:fill="auto"/>
            <w:noWrap/>
            <w:vAlign w:val="bottom"/>
            <w:hideMark/>
          </w:tcPr>
          <w:p w14:paraId="2F500587"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2BF0DA92" w14:textId="77777777" w:rsidR="00BD4D02" w:rsidRPr="00BD4D02" w:rsidRDefault="00BD4D02" w:rsidP="00BD4D02">
            <w:pPr>
              <w:rPr>
                <w:sz w:val="20"/>
                <w:szCs w:val="20"/>
              </w:rPr>
            </w:pPr>
          </w:p>
        </w:tc>
        <w:tc>
          <w:tcPr>
            <w:tcW w:w="663" w:type="dxa"/>
            <w:shd w:val="clear" w:color="auto" w:fill="auto"/>
            <w:noWrap/>
            <w:vAlign w:val="bottom"/>
            <w:hideMark/>
          </w:tcPr>
          <w:p w14:paraId="51FDD44D" w14:textId="77777777" w:rsidR="00BD4D02" w:rsidRPr="00BD4D02" w:rsidRDefault="00BD4D02" w:rsidP="00BD4D02">
            <w:pPr>
              <w:rPr>
                <w:sz w:val="20"/>
                <w:szCs w:val="20"/>
              </w:rPr>
            </w:pPr>
          </w:p>
        </w:tc>
        <w:tc>
          <w:tcPr>
            <w:tcW w:w="663" w:type="dxa"/>
            <w:shd w:val="clear" w:color="auto" w:fill="auto"/>
            <w:noWrap/>
            <w:vAlign w:val="bottom"/>
            <w:hideMark/>
          </w:tcPr>
          <w:p w14:paraId="11C66FD5" w14:textId="77777777" w:rsidR="00BD4D02" w:rsidRPr="00BD4D02" w:rsidRDefault="00BD4D02" w:rsidP="00BD4D02">
            <w:pPr>
              <w:rPr>
                <w:sz w:val="20"/>
                <w:szCs w:val="20"/>
              </w:rPr>
            </w:pPr>
          </w:p>
        </w:tc>
        <w:tc>
          <w:tcPr>
            <w:tcW w:w="663" w:type="dxa"/>
            <w:shd w:val="clear" w:color="auto" w:fill="auto"/>
            <w:noWrap/>
            <w:vAlign w:val="bottom"/>
            <w:hideMark/>
          </w:tcPr>
          <w:p w14:paraId="04BCFA67" w14:textId="77777777" w:rsidR="00BD4D02" w:rsidRPr="00BD4D02" w:rsidRDefault="00BD4D02" w:rsidP="00BD4D02">
            <w:pPr>
              <w:rPr>
                <w:sz w:val="20"/>
                <w:szCs w:val="20"/>
              </w:rPr>
            </w:pPr>
          </w:p>
        </w:tc>
        <w:tc>
          <w:tcPr>
            <w:tcW w:w="663" w:type="dxa"/>
            <w:shd w:val="clear" w:color="auto" w:fill="auto"/>
            <w:noWrap/>
            <w:vAlign w:val="bottom"/>
            <w:hideMark/>
          </w:tcPr>
          <w:p w14:paraId="60DEE17C" w14:textId="77777777" w:rsidR="00BD4D02" w:rsidRPr="00BD4D02" w:rsidRDefault="00BD4D02" w:rsidP="00BD4D02">
            <w:pPr>
              <w:rPr>
                <w:sz w:val="20"/>
                <w:szCs w:val="20"/>
              </w:rPr>
            </w:pPr>
          </w:p>
        </w:tc>
        <w:tc>
          <w:tcPr>
            <w:tcW w:w="663" w:type="dxa"/>
            <w:shd w:val="clear" w:color="auto" w:fill="auto"/>
            <w:noWrap/>
            <w:vAlign w:val="bottom"/>
            <w:hideMark/>
          </w:tcPr>
          <w:p w14:paraId="617D485B" w14:textId="77777777" w:rsidR="00BD4D02" w:rsidRPr="00BD4D02" w:rsidRDefault="00BD4D02" w:rsidP="00BD4D02">
            <w:pPr>
              <w:rPr>
                <w:sz w:val="20"/>
                <w:szCs w:val="20"/>
              </w:rPr>
            </w:pPr>
          </w:p>
        </w:tc>
        <w:tc>
          <w:tcPr>
            <w:tcW w:w="663" w:type="dxa"/>
            <w:shd w:val="clear" w:color="auto" w:fill="auto"/>
            <w:noWrap/>
            <w:vAlign w:val="bottom"/>
            <w:hideMark/>
          </w:tcPr>
          <w:p w14:paraId="1E4DC3FF"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2864C78F"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3D487C16"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20CD283E" w14:textId="77777777" w:rsidR="00BD4D02" w:rsidRPr="00BD4D02" w:rsidRDefault="00BD4D02" w:rsidP="00BD4D02">
            <w:pPr>
              <w:rPr>
                <w:sz w:val="20"/>
                <w:szCs w:val="20"/>
              </w:rPr>
            </w:pPr>
          </w:p>
        </w:tc>
        <w:tc>
          <w:tcPr>
            <w:tcW w:w="663" w:type="dxa"/>
            <w:shd w:val="clear" w:color="auto" w:fill="auto"/>
            <w:noWrap/>
            <w:vAlign w:val="bottom"/>
            <w:hideMark/>
          </w:tcPr>
          <w:p w14:paraId="798D9A9A" w14:textId="77777777" w:rsidR="00BD4D02" w:rsidRPr="00BD4D02" w:rsidRDefault="00BD4D02" w:rsidP="00BD4D02">
            <w:pPr>
              <w:rPr>
                <w:sz w:val="20"/>
                <w:szCs w:val="20"/>
              </w:rPr>
            </w:pPr>
          </w:p>
        </w:tc>
        <w:tc>
          <w:tcPr>
            <w:tcW w:w="1180" w:type="dxa"/>
            <w:shd w:val="clear" w:color="auto" w:fill="auto"/>
            <w:noWrap/>
            <w:vAlign w:val="bottom"/>
            <w:hideMark/>
          </w:tcPr>
          <w:p w14:paraId="4870FC1B"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r>
      <w:tr w:rsidR="00BD4D02" w:rsidRPr="00BD4D02" w14:paraId="78554EAB" w14:textId="77777777" w:rsidTr="00050580">
        <w:trPr>
          <w:trHeight w:val="144"/>
        </w:trPr>
        <w:tc>
          <w:tcPr>
            <w:tcW w:w="4500" w:type="dxa"/>
            <w:shd w:val="clear" w:color="auto" w:fill="auto"/>
            <w:noWrap/>
            <w:vAlign w:val="bottom"/>
            <w:hideMark/>
          </w:tcPr>
          <w:p w14:paraId="439DE13B"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High-speed lines</w:t>
            </w:r>
          </w:p>
        </w:tc>
        <w:tc>
          <w:tcPr>
            <w:tcW w:w="770" w:type="dxa"/>
            <w:shd w:val="clear" w:color="auto" w:fill="auto"/>
            <w:noWrap/>
            <w:vAlign w:val="bottom"/>
            <w:hideMark/>
          </w:tcPr>
          <w:p w14:paraId="1AD67911"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30EF327B" w14:textId="77777777" w:rsidR="00BD4D02" w:rsidRPr="00BD4D02" w:rsidRDefault="00BD4D02" w:rsidP="00BD4D02">
            <w:pPr>
              <w:rPr>
                <w:sz w:val="20"/>
                <w:szCs w:val="20"/>
              </w:rPr>
            </w:pPr>
          </w:p>
        </w:tc>
        <w:tc>
          <w:tcPr>
            <w:tcW w:w="663" w:type="dxa"/>
            <w:shd w:val="clear" w:color="auto" w:fill="auto"/>
            <w:noWrap/>
            <w:vAlign w:val="bottom"/>
            <w:hideMark/>
          </w:tcPr>
          <w:p w14:paraId="63706017" w14:textId="77777777" w:rsidR="00BD4D02" w:rsidRPr="00BD4D02" w:rsidRDefault="00BD4D02" w:rsidP="00BD4D02">
            <w:pPr>
              <w:rPr>
                <w:sz w:val="20"/>
                <w:szCs w:val="20"/>
              </w:rPr>
            </w:pPr>
          </w:p>
        </w:tc>
        <w:tc>
          <w:tcPr>
            <w:tcW w:w="663" w:type="dxa"/>
            <w:shd w:val="clear" w:color="auto" w:fill="auto"/>
            <w:noWrap/>
            <w:vAlign w:val="bottom"/>
            <w:hideMark/>
          </w:tcPr>
          <w:p w14:paraId="6923302A" w14:textId="77777777" w:rsidR="00BD4D02" w:rsidRPr="00BD4D02" w:rsidRDefault="00BD4D02" w:rsidP="00BD4D02">
            <w:pPr>
              <w:rPr>
                <w:sz w:val="20"/>
                <w:szCs w:val="20"/>
              </w:rPr>
            </w:pPr>
          </w:p>
        </w:tc>
        <w:tc>
          <w:tcPr>
            <w:tcW w:w="663" w:type="dxa"/>
            <w:shd w:val="clear" w:color="auto" w:fill="auto"/>
            <w:noWrap/>
            <w:vAlign w:val="bottom"/>
            <w:hideMark/>
          </w:tcPr>
          <w:p w14:paraId="05FBA4FC" w14:textId="77777777" w:rsidR="00BD4D02" w:rsidRPr="00BD4D02" w:rsidRDefault="00BD4D02" w:rsidP="00BD4D02">
            <w:pPr>
              <w:rPr>
                <w:sz w:val="20"/>
                <w:szCs w:val="20"/>
              </w:rPr>
            </w:pPr>
          </w:p>
        </w:tc>
        <w:tc>
          <w:tcPr>
            <w:tcW w:w="663" w:type="dxa"/>
            <w:shd w:val="clear" w:color="auto" w:fill="auto"/>
            <w:noWrap/>
            <w:vAlign w:val="bottom"/>
            <w:hideMark/>
          </w:tcPr>
          <w:p w14:paraId="21F51657" w14:textId="77777777" w:rsidR="00BD4D02" w:rsidRPr="00BD4D02" w:rsidRDefault="00BD4D02" w:rsidP="00BD4D02">
            <w:pPr>
              <w:rPr>
                <w:sz w:val="20"/>
                <w:szCs w:val="20"/>
              </w:rPr>
            </w:pPr>
          </w:p>
        </w:tc>
        <w:tc>
          <w:tcPr>
            <w:tcW w:w="663" w:type="dxa"/>
            <w:shd w:val="clear" w:color="auto" w:fill="auto"/>
            <w:noWrap/>
            <w:vAlign w:val="bottom"/>
            <w:hideMark/>
          </w:tcPr>
          <w:p w14:paraId="5266C353" w14:textId="77777777" w:rsidR="00BD4D02" w:rsidRPr="00BD4D02" w:rsidRDefault="00BD4D02" w:rsidP="00BD4D02">
            <w:pPr>
              <w:rPr>
                <w:sz w:val="20"/>
                <w:szCs w:val="20"/>
              </w:rPr>
            </w:pPr>
          </w:p>
        </w:tc>
        <w:tc>
          <w:tcPr>
            <w:tcW w:w="663" w:type="dxa"/>
            <w:shd w:val="clear" w:color="auto" w:fill="auto"/>
            <w:noWrap/>
            <w:vAlign w:val="bottom"/>
            <w:hideMark/>
          </w:tcPr>
          <w:p w14:paraId="4B601813" w14:textId="77777777" w:rsidR="00BD4D02" w:rsidRPr="00BD4D02" w:rsidRDefault="00BD4D02" w:rsidP="00BD4D02">
            <w:pPr>
              <w:rPr>
                <w:sz w:val="20"/>
                <w:szCs w:val="20"/>
              </w:rPr>
            </w:pPr>
          </w:p>
        </w:tc>
        <w:tc>
          <w:tcPr>
            <w:tcW w:w="663" w:type="dxa"/>
            <w:shd w:val="clear" w:color="auto" w:fill="auto"/>
            <w:noWrap/>
            <w:vAlign w:val="bottom"/>
            <w:hideMark/>
          </w:tcPr>
          <w:p w14:paraId="40887156" w14:textId="77777777" w:rsidR="00BD4D02" w:rsidRPr="00BD4D02" w:rsidRDefault="00BD4D02" w:rsidP="00BD4D02">
            <w:pPr>
              <w:rPr>
                <w:sz w:val="20"/>
                <w:szCs w:val="20"/>
              </w:rPr>
            </w:pPr>
          </w:p>
        </w:tc>
        <w:tc>
          <w:tcPr>
            <w:tcW w:w="663" w:type="dxa"/>
            <w:shd w:val="clear" w:color="auto" w:fill="auto"/>
            <w:noWrap/>
            <w:vAlign w:val="bottom"/>
            <w:hideMark/>
          </w:tcPr>
          <w:p w14:paraId="4D70C150" w14:textId="77777777" w:rsidR="00BD4D02" w:rsidRPr="00BD4D02" w:rsidRDefault="00BD4D02" w:rsidP="00BD4D02">
            <w:pPr>
              <w:rPr>
                <w:sz w:val="20"/>
                <w:szCs w:val="20"/>
              </w:rPr>
            </w:pPr>
          </w:p>
        </w:tc>
        <w:tc>
          <w:tcPr>
            <w:tcW w:w="663" w:type="dxa"/>
            <w:shd w:val="clear" w:color="auto" w:fill="auto"/>
            <w:noWrap/>
            <w:vAlign w:val="bottom"/>
            <w:hideMark/>
          </w:tcPr>
          <w:p w14:paraId="79B5086E" w14:textId="77777777" w:rsidR="00BD4D02" w:rsidRPr="00BD4D02" w:rsidRDefault="00BD4D02" w:rsidP="00BD4D02">
            <w:pPr>
              <w:rPr>
                <w:sz w:val="20"/>
                <w:szCs w:val="20"/>
              </w:rPr>
            </w:pPr>
          </w:p>
        </w:tc>
        <w:tc>
          <w:tcPr>
            <w:tcW w:w="663" w:type="dxa"/>
            <w:shd w:val="clear" w:color="auto" w:fill="auto"/>
            <w:noWrap/>
            <w:vAlign w:val="bottom"/>
            <w:hideMark/>
          </w:tcPr>
          <w:p w14:paraId="31115328"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1180" w:type="dxa"/>
            <w:shd w:val="clear" w:color="auto" w:fill="auto"/>
            <w:noWrap/>
            <w:vAlign w:val="bottom"/>
            <w:hideMark/>
          </w:tcPr>
          <w:p w14:paraId="00AFEE4A"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2BABAD1E" w14:textId="77777777" w:rsidTr="00050580">
        <w:trPr>
          <w:trHeight w:val="144"/>
        </w:trPr>
        <w:tc>
          <w:tcPr>
            <w:tcW w:w="4500" w:type="dxa"/>
            <w:shd w:val="clear" w:color="auto" w:fill="auto"/>
            <w:noWrap/>
            <w:vAlign w:val="bottom"/>
            <w:hideMark/>
          </w:tcPr>
          <w:p w14:paraId="7BB7E264"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lastRenderedPageBreak/>
              <w:t>Homes passed - fibre optic</w:t>
            </w:r>
          </w:p>
        </w:tc>
        <w:tc>
          <w:tcPr>
            <w:tcW w:w="770" w:type="dxa"/>
            <w:shd w:val="clear" w:color="auto" w:fill="auto"/>
            <w:noWrap/>
            <w:vAlign w:val="bottom"/>
            <w:hideMark/>
          </w:tcPr>
          <w:p w14:paraId="58750DD6"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1DA0C028" w14:textId="77777777" w:rsidR="00BD4D02" w:rsidRPr="00BD4D02" w:rsidRDefault="00BD4D02" w:rsidP="00BD4D02">
            <w:pPr>
              <w:rPr>
                <w:sz w:val="20"/>
                <w:szCs w:val="20"/>
              </w:rPr>
            </w:pPr>
          </w:p>
        </w:tc>
        <w:tc>
          <w:tcPr>
            <w:tcW w:w="663" w:type="dxa"/>
            <w:shd w:val="clear" w:color="auto" w:fill="auto"/>
            <w:noWrap/>
            <w:vAlign w:val="bottom"/>
            <w:hideMark/>
          </w:tcPr>
          <w:p w14:paraId="3AF88A36" w14:textId="77777777" w:rsidR="00BD4D02" w:rsidRPr="00BD4D02" w:rsidRDefault="00BD4D02" w:rsidP="00BD4D02">
            <w:pPr>
              <w:rPr>
                <w:sz w:val="20"/>
                <w:szCs w:val="20"/>
              </w:rPr>
            </w:pPr>
          </w:p>
        </w:tc>
        <w:tc>
          <w:tcPr>
            <w:tcW w:w="663" w:type="dxa"/>
            <w:shd w:val="clear" w:color="auto" w:fill="auto"/>
            <w:noWrap/>
            <w:vAlign w:val="bottom"/>
            <w:hideMark/>
          </w:tcPr>
          <w:p w14:paraId="6BDAFEA0" w14:textId="77777777" w:rsidR="00BD4D02" w:rsidRPr="00BD4D02" w:rsidRDefault="00BD4D02" w:rsidP="00BD4D02">
            <w:pPr>
              <w:rPr>
                <w:sz w:val="20"/>
                <w:szCs w:val="20"/>
              </w:rPr>
            </w:pPr>
          </w:p>
        </w:tc>
        <w:tc>
          <w:tcPr>
            <w:tcW w:w="663" w:type="dxa"/>
            <w:shd w:val="clear" w:color="auto" w:fill="auto"/>
            <w:noWrap/>
            <w:vAlign w:val="bottom"/>
            <w:hideMark/>
          </w:tcPr>
          <w:p w14:paraId="4B672521" w14:textId="77777777" w:rsidR="00BD4D02" w:rsidRPr="00BD4D02" w:rsidRDefault="00BD4D02" w:rsidP="00BD4D02">
            <w:pPr>
              <w:rPr>
                <w:sz w:val="20"/>
                <w:szCs w:val="20"/>
              </w:rPr>
            </w:pPr>
          </w:p>
        </w:tc>
        <w:tc>
          <w:tcPr>
            <w:tcW w:w="663" w:type="dxa"/>
            <w:shd w:val="clear" w:color="auto" w:fill="auto"/>
            <w:noWrap/>
            <w:vAlign w:val="bottom"/>
            <w:hideMark/>
          </w:tcPr>
          <w:p w14:paraId="4F083722" w14:textId="77777777" w:rsidR="00BD4D02" w:rsidRPr="00BD4D02" w:rsidRDefault="00BD4D02" w:rsidP="00BD4D02">
            <w:pPr>
              <w:rPr>
                <w:sz w:val="20"/>
                <w:szCs w:val="20"/>
              </w:rPr>
            </w:pPr>
          </w:p>
        </w:tc>
        <w:tc>
          <w:tcPr>
            <w:tcW w:w="663" w:type="dxa"/>
            <w:shd w:val="clear" w:color="auto" w:fill="auto"/>
            <w:noWrap/>
            <w:vAlign w:val="bottom"/>
            <w:hideMark/>
          </w:tcPr>
          <w:p w14:paraId="0937EC85"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417963A3"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68F03C54"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634753BB"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42641862"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15082D37" w14:textId="77777777" w:rsidR="00BD4D02" w:rsidRPr="00BD4D02" w:rsidRDefault="00BD4D02" w:rsidP="00BD4D02">
            <w:pPr>
              <w:rPr>
                <w:sz w:val="20"/>
                <w:szCs w:val="20"/>
              </w:rPr>
            </w:pPr>
          </w:p>
        </w:tc>
        <w:tc>
          <w:tcPr>
            <w:tcW w:w="1180" w:type="dxa"/>
            <w:shd w:val="clear" w:color="auto" w:fill="auto"/>
            <w:noWrap/>
            <w:vAlign w:val="bottom"/>
            <w:hideMark/>
          </w:tcPr>
          <w:p w14:paraId="75BB40A3"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4</w:t>
            </w:r>
          </w:p>
        </w:tc>
      </w:tr>
      <w:tr w:rsidR="00BD4D02" w:rsidRPr="00BD4D02" w14:paraId="09A9F98E" w14:textId="77777777" w:rsidTr="00050580">
        <w:trPr>
          <w:trHeight w:val="144"/>
        </w:trPr>
        <w:tc>
          <w:tcPr>
            <w:tcW w:w="4500" w:type="dxa"/>
            <w:shd w:val="clear" w:color="auto" w:fill="auto"/>
            <w:noWrap/>
            <w:vAlign w:val="bottom"/>
            <w:hideMark/>
          </w:tcPr>
          <w:p w14:paraId="741D3422"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Household - %</w:t>
            </w:r>
          </w:p>
        </w:tc>
        <w:tc>
          <w:tcPr>
            <w:tcW w:w="770" w:type="dxa"/>
            <w:shd w:val="clear" w:color="auto" w:fill="auto"/>
            <w:noWrap/>
            <w:vAlign w:val="bottom"/>
            <w:hideMark/>
          </w:tcPr>
          <w:p w14:paraId="1F65ED32"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24495FEC" w14:textId="77777777" w:rsidR="00BD4D02" w:rsidRPr="00BD4D02" w:rsidRDefault="00BD4D02" w:rsidP="00BD4D02">
            <w:pPr>
              <w:rPr>
                <w:sz w:val="20"/>
                <w:szCs w:val="20"/>
              </w:rPr>
            </w:pPr>
          </w:p>
        </w:tc>
        <w:tc>
          <w:tcPr>
            <w:tcW w:w="663" w:type="dxa"/>
            <w:shd w:val="clear" w:color="auto" w:fill="auto"/>
            <w:noWrap/>
            <w:vAlign w:val="bottom"/>
            <w:hideMark/>
          </w:tcPr>
          <w:p w14:paraId="2DF1A286" w14:textId="77777777" w:rsidR="00BD4D02" w:rsidRPr="00BD4D02" w:rsidRDefault="00BD4D02" w:rsidP="00BD4D02">
            <w:pPr>
              <w:rPr>
                <w:sz w:val="20"/>
                <w:szCs w:val="20"/>
              </w:rPr>
            </w:pPr>
          </w:p>
        </w:tc>
        <w:tc>
          <w:tcPr>
            <w:tcW w:w="663" w:type="dxa"/>
            <w:shd w:val="clear" w:color="auto" w:fill="auto"/>
            <w:noWrap/>
            <w:vAlign w:val="bottom"/>
            <w:hideMark/>
          </w:tcPr>
          <w:p w14:paraId="29F4B497" w14:textId="77777777" w:rsidR="00BD4D02" w:rsidRPr="00BD4D02" w:rsidRDefault="00BD4D02" w:rsidP="00BD4D02">
            <w:pPr>
              <w:rPr>
                <w:sz w:val="20"/>
                <w:szCs w:val="20"/>
              </w:rPr>
            </w:pPr>
          </w:p>
        </w:tc>
        <w:tc>
          <w:tcPr>
            <w:tcW w:w="663" w:type="dxa"/>
            <w:shd w:val="clear" w:color="auto" w:fill="auto"/>
            <w:noWrap/>
            <w:vAlign w:val="bottom"/>
            <w:hideMark/>
          </w:tcPr>
          <w:p w14:paraId="2BC0CA64" w14:textId="77777777" w:rsidR="00BD4D02" w:rsidRPr="00BD4D02" w:rsidRDefault="00BD4D02" w:rsidP="00BD4D02">
            <w:pPr>
              <w:rPr>
                <w:sz w:val="20"/>
                <w:szCs w:val="20"/>
              </w:rPr>
            </w:pPr>
          </w:p>
        </w:tc>
        <w:tc>
          <w:tcPr>
            <w:tcW w:w="663" w:type="dxa"/>
            <w:shd w:val="clear" w:color="auto" w:fill="auto"/>
            <w:noWrap/>
            <w:vAlign w:val="bottom"/>
            <w:hideMark/>
          </w:tcPr>
          <w:p w14:paraId="1E212763" w14:textId="77777777" w:rsidR="00BD4D02" w:rsidRPr="00BD4D02" w:rsidRDefault="00BD4D02" w:rsidP="00BD4D02">
            <w:pPr>
              <w:rPr>
                <w:sz w:val="20"/>
                <w:szCs w:val="20"/>
              </w:rPr>
            </w:pPr>
          </w:p>
        </w:tc>
        <w:tc>
          <w:tcPr>
            <w:tcW w:w="663" w:type="dxa"/>
            <w:shd w:val="clear" w:color="auto" w:fill="auto"/>
            <w:noWrap/>
            <w:vAlign w:val="bottom"/>
            <w:hideMark/>
          </w:tcPr>
          <w:p w14:paraId="78F0B842" w14:textId="77777777" w:rsidR="00BD4D02" w:rsidRPr="00BD4D02" w:rsidRDefault="00BD4D02" w:rsidP="00BD4D02">
            <w:pPr>
              <w:rPr>
                <w:sz w:val="20"/>
                <w:szCs w:val="20"/>
              </w:rPr>
            </w:pPr>
          </w:p>
        </w:tc>
        <w:tc>
          <w:tcPr>
            <w:tcW w:w="663" w:type="dxa"/>
            <w:shd w:val="clear" w:color="auto" w:fill="auto"/>
            <w:noWrap/>
            <w:vAlign w:val="bottom"/>
            <w:hideMark/>
          </w:tcPr>
          <w:p w14:paraId="45D9BE21" w14:textId="77777777" w:rsidR="00BD4D02" w:rsidRPr="00BD4D02" w:rsidRDefault="00BD4D02" w:rsidP="00BD4D02">
            <w:pPr>
              <w:rPr>
                <w:sz w:val="20"/>
                <w:szCs w:val="20"/>
              </w:rPr>
            </w:pPr>
          </w:p>
        </w:tc>
        <w:tc>
          <w:tcPr>
            <w:tcW w:w="663" w:type="dxa"/>
            <w:shd w:val="clear" w:color="auto" w:fill="auto"/>
            <w:noWrap/>
            <w:vAlign w:val="bottom"/>
            <w:hideMark/>
          </w:tcPr>
          <w:p w14:paraId="4D5FBF18"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6D32E404"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546267A9"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5E2FA21F" w14:textId="77777777" w:rsidR="00BD4D02" w:rsidRPr="00BD4D02" w:rsidRDefault="00BD4D02" w:rsidP="00BD4D02">
            <w:pPr>
              <w:jc w:val="right"/>
              <w:rPr>
                <w:rFonts w:ascii="Calibri" w:hAnsi="Calibri" w:cs="Calibri"/>
                <w:color w:val="000000"/>
                <w:sz w:val="20"/>
                <w:szCs w:val="20"/>
              </w:rPr>
            </w:pPr>
          </w:p>
        </w:tc>
        <w:tc>
          <w:tcPr>
            <w:tcW w:w="1180" w:type="dxa"/>
            <w:shd w:val="clear" w:color="auto" w:fill="auto"/>
            <w:noWrap/>
            <w:vAlign w:val="bottom"/>
            <w:hideMark/>
          </w:tcPr>
          <w:p w14:paraId="646B7665"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w:t>
            </w:r>
          </w:p>
        </w:tc>
      </w:tr>
      <w:tr w:rsidR="00BD4D02" w:rsidRPr="00BD4D02" w14:paraId="490F3D74" w14:textId="77777777" w:rsidTr="00050580">
        <w:trPr>
          <w:trHeight w:val="144"/>
        </w:trPr>
        <w:tc>
          <w:tcPr>
            <w:tcW w:w="4500" w:type="dxa"/>
            <w:shd w:val="clear" w:color="auto" w:fill="auto"/>
            <w:noWrap/>
            <w:vAlign w:val="bottom"/>
            <w:hideMark/>
          </w:tcPr>
          <w:p w14:paraId="58D76F89"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International comparison</w:t>
            </w:r>
          </w:p>
        </w:tc>
        <w:tc>
          <w:tcPr>
            <w:tcW w:w="770" w:type="dxa"/>
            <w:shd w:val="clear" w:color="auto" w:fill="auto"/>
            <w:noWrap/>
            <w:vAlign w:val="bottom"/>
            <w:hideMark/>
          </w:tcPr>
          <w:p w14:paraId="5BDEC863"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0CBA7435"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6808BA7E"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31E7582E"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132E9F7A"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7EA8B8B9"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29C39442" w14:textId="77777777" w:rsidR="00BD4D02" w:rsidRPr="00BD4D02" w:rsidRDefault="00BD4D02" w:rsidP="00BD4D02">
            <w:pPr>
              <w:rPr>
                <w:sz w:val="20"/>
                <w:szCs w:val="20"/>
              </w:rPr>
            </w:pPr>
          </w:p>
        </w:tc>
        <w:tc>
          <w:tcPr>
            <w:tcW w:w="663" w:type="dxa"/>
            <w:shd w:val="clear" w:color="auto" w:fill="auto"/>
            <w:noWrap/>
            <w:vAlign w:val="bottom"/>
            <w:hideMark/>
          </w:tcPr>
          <w:p w14:paraId="4F1B75FA" w14:textId="77777777" w:rsidR="00BD4D02" w:rsidRPr="00BD4D02" w:rsidRDefault="00BD4D02" w:rsidP="00BD4D02">
            <w:pPr>
              <w:rPr>
                <w:sz w:val="20"/>
                <w:szCs w:val="20"/>
              </w:rPr>
            </w:pPr>
          </w:p>
        </w:tc>
        <w:tc>
          <w:tcPr>
            <w:tcW w:w="663" w:type="dxa"/>
            <w:shd w:val="clear" w:color="auto" w:fill="auto"/>
            <w:noWrap/>
            <w:vAlign w:val="bottom"/>
            <w:hideMark/>
          </w:tcPr>
          <w:p w14:paraId="6B89D507" w14:textId="77777777" w:rsidR="00BD4D02" w:rsidRPr="00BD4D02" w:rsidRDefault="00BD4D02" w:rsidP="00BD4D02">
            <w:pPr>
              <w:rPr>
                <w:sz w:val="20"/>
                <w:szCs w:val="20"/>
              </w:rPr>
            </w:pPr>
          </w:p>
        </w:tc>
        <w:tc>
          <w:tcPr>
            <w:tcW w:w="663" w:type="dxa"/>
            <w:shd w:val="clear" w:color="auto" w:fill="auto"/>
            <w:noWrap/>
            <w:vAlign w:val="bottom"/>
            <w:hideMark/>
          </w:tcPr>
          <w:p w14:paraId="21BE6C40" w14:textId="77777777" w:rsidR="00BD4D02" w:rsidRPr="00BD4D02" w:rsidRDefault="00BD4D02" w:rsidP="00BD4D02">
            <w:pPr>
              <w:rPr>
                <w:sz w:val="20"/>
                <w:szCs w:val="20"/>
              </w:rPr>
            </w:pPr>
          </w:p>
        </w:tc>
        <w:tc>
          <w:tcPr>
            <w:tcW w:w="663" w:type="dxa"/>
            <w:shd w:val="clear" w:color="auto" w:fill="auto"/>
            <w:noWrap/>
            <w:vAlign w:val="bottom"/>
            <w:hideMark/>
          </w:tcPr>
          <w:p w14:paraId="214B8CB9" w14:textId="77777777" w:rsidR="00BD4D02" w:rsidRPr="00BD4D02" w:rsidRDefault="00BD4D02" w:rsidP="00BD4D02">
            <w:pPr>
              <w:rPr>
                <w:sz w:val="20"/>
                <w:szCs w:val="20"/>
              </w:rPr>
            </w:pPr>
          </w:p>
        </w:tc>
        <w:tc>
          <w:tcPr>
            <w:tcW w:w="663" w:type="dxa"/>
            <w:shd w:val="clear" w:color="auto" w:fill="auto"/>
            <w:noWrap/>
            <w:vAlign w:val="bottom"/>
            <w:hideMark/>
          </w:tcPr>
          <w:p w14:paraId="6A6254E5" w14:textId="77777777" w:rsidR="00BD4D02" w:rsidRPr="00BD4D02" w:rsidRDefault="00BD4D02" w:rsidP="00BD4D02">
            <w:pPr>
              <w:rPr>
                <w:sz w:val="20"/>
                <w:szCs w:val="20"/>
              </w:rPr>
            </w:pPr>
          </w:p>
        </w:tc>
        <w:tc>
          <w:tcPr>
            <w:tcW w:w="1180" w:type="dxa"/>
            <w:shd w:val="clear" w:color="auto" w:fill="auto"/>
            <w:noWrap/>
            <w:vAlign w:val="bottom"/>
            <w:hideMark/>
          </w:tcPr>
          <w:p w14:paraId="595FBE2A"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4</w:t>
            </w:r>
          </w:p>
        </w:tc>
      </w:tr>
      <w:tr w:rsidR="00BD4D02" w:rsidRPr="00BD4D02" w14:paraId="0D39E2F3" w14:textId="77777777" w:rsidTr="00050580">
        <w:trPr>
          <w:trHeight w:val="144"/>
        </w:trPr>
        <w:tc>
          <w:tcPr>
            <w:tcW w:w="4500" w:type="dxa"/>
            <w:shd w:val="clear" w:color="auto" w:fill="auto"/>
            <w:noWrap/>
            <w:vAlign w:val="bottom"/>
            <w:hideMark/>
          </w:tcPr>
          <w:p w14:paraId="68B57011"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 xml:space="preserve">Internet - high-speed </w:t>
            </w:r>
            <w:proofErr w:type="spellStart"/>
            <w:r w:rsidRPr="00BD4D02">
              <w:rPr>
                <w:rFonts w:ascii="Calibri" w:hAnsi="Calibri" w:cs="Calibri"/>
                <w:color w:val="000000"/>
                <w:sz w:val="20"/>
                <w:szCs w:val="20"/>
              </w:rPr>
              <w:t>wholseale</w:t>
            </w:r>
            <w:proofErr w:type="spellEnd"/>
            <w:r w:rsidRPr="00BD4D02">
              <w:rPr>
                <w:rFonts w:ascii="Calibri" w:hAnsi="Calibri" w:cs="Calibri"/>
                <w:color w:val="000000"/>
                <w:sz w:val="20"/>
                <w:szCs w:val="20"/>
              </w:rPr>
              <w:t xml:space="preserve"> lines</w:t>
            </w:r>
          </w:p>
        </w:tc>
        <w:tc>
          <w:tcPr>
            <w:tcW w:w="770" w:type="dxa"/>
            <w:shd w:val="clear" w:color="auto" w:fill="auto"/>
            <w:noWrap/>
            <w:vAlign w:val="bottom"/>
            <w:hideMark/>
          </w:tcPr>
          <w:p w14:paraId="13992FB8"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76C85CC3" w14:textId="77777777" w:rsidR="00BD4D02" w:rsidRPr="00BD4D02" w:rsidRDefault="00BD4D02" w:rsidP="00BD4D02">
            <w:pPr>
              <w:rPr>
                <w:sz w:val="20"/>
                <w:szCs w:val="20"/>
              </w:rPr>
            </w:pPr>
          </w:p>
        </w:tc>
        <w:tc>
          <w:tcPr>
            <w:tcW w:w="663" w:type="dxa"/>
            <w:shd w:val="clear" w:color="auto" w:fill="auto"/>
            <w:noWrap/>
            <w:vAlign w:val="bottom"/>
            <w:hideMark/>
          </w:tcPr>
          <w:p w14:paraId="7F9BAA82" w14:textId="77777777" w:rsidR="00BD4D02" w:rsidRPr="00BD4D02" w:rsidRDefault="00BD4D02" w:rsidP="00BD4D02">
            <w:pPr>
              <w:rPr>
                <w:sz w:val="20"/>
                <w:szCs w:val="20"/>
              </w:rPr>
            </w:pPr>
          </w:p>
        </w:tc>
        <w:tc>
          <w:tcPr>
            <w:tcW w:w="663" w:type="dxa"/>
            <w:shd w:val="clear" w:color="auto" w:fill="auto"/>
            <w:noWrap/>
            <w:vAlign w:val="bottom"/>
            <w:hideMark/>
          </w:tcPr>
          <w:p w14:paraId="11E93F3B" w14:textId="77777777" w:rsidR="00BD4D02" w:rsidRPr="00BD4D02" w:rsidRDefault="00BD4D02" w:rsidP="00BD4D02">
            <w:pPr>
              <w:rPr>
                <w:sz w:val="20"/>
                <w:szCs w:val="20"/>
              </w:rPr>
            </w:pPr>
          </w:p>
        </w:tc>
        <w:tc>
          <w:tcPr>
            <w:tcW w:w="663" w:type="dxa"/>
            <w:shd w:val="clear" w:color="auto" w:fill="auto"/>
            <w:noWrap/>
            <w:vAlign w:val="bottom"/>
            <w:hideMark/>
          </w:tcPr>
          <w:p w14:paraId="3C2B739B" w14:textId="77777777" w:rsidR="00BD4D02" w:rsidRPr="00BD4D02" w:rsidRDefault="00BD4D02" w:rsidP="00BD4D02">
            <w:pPr>
              <w:rPr>
                <w:sz w:val="20"/>
                <w:szCs w:val="20"/>
              </w:rPr>
            </w:pPr>
          </w:p>
        </w:tc>
        <w:tc>
          <w:tcPr>
            <w:tcW w:w="663" w:type="dxa"/>
            <w:shd w:val="clear" w:color="auto" w:fill="auto"/>
            <w:noWrap/>
            <w:vAlign w:val="bottom"/>
            <w:hideMark/>
          </w:tcPr>
          <w:p w14:paraId="69FECB7C" w14:textId="77777777" w:rsidR="00BD4D02" w:rsidRPr="00BD4D02" w:rsidRDefault="00BD4D02" w:rsidP="00BD4D02">
            <w:pPr>
              <w:rPr>
                <w:sz w:val="20"/>
                <w:szCs w:val="20"/>
              </w:rPr>
            </w:pPr>
          </w:p>
        </w:tc>
        <w:tc>
          <w:tcPr>
            <w:tcW w:w="663" w:type="dxa"/>
            <w:shd w:val="clear" w:color="auto" w:fill="auto"/>
            <w:noWrap/>
            <w:vAlign w:val="bottom"/>
            <w:hideMark/>
          </w:tcPr>
          <w:p w14:paraId="6ED14D81" w14:textId="77777777" w:rsidR="00BD4D02" w:rsidRPr="00BD4D02" w:rsidRDefault="00BD4D02" w:rsidP="00BD4D02">
            <w:pPr>
              <w:rPr>
                <w:sz w:val="20"/>
                <w:szCs w:val="20"/>
              </w:rPr>
            </w:pPr>
          </w:p>
        </w:tc>
        <w:tc>
          <w:tcPr>
            <w:tcW w:w="663" w:type="dxa"/>
            <w:shd w:val="clear" w:color="auto" w:fill="auto"/>
            <w:noWrap/>
            <w:vAlign w:val="bottom"/>
            <w:hideMark/>
          </w:tcPr>
          <w:p w14:paraId="6E97388F" w14:textId="77777777" w:rsidR="00BD4D02" w:rsidRPr="00BD4D02" w:rsidRDefault="00BD4D02" w:rsidP="00BD4D02">
            <w:pPr>
              <w:rPr>
                <w:sz w:val="20"/>
                <w:szCs w:val="20"/>
              </w:rPr>
            </w:pPr>
          </w:p>
        </w:tc>
        <w:tc>
          <w:tcPr>
            <w:tcW w:w="663" w:type="dxa"/>
            <w:shd w:val="clear" w:color="auto" w:fill="auto"/>
            <w:noWrap/>
            <w:vAlign w:val="bottom"/>
            <w:hideMark/>
          </w:tcPr>
          <w:p w14:paraId="3A61B8F7" w14:textId="77777777" w:rsidR="00BD4D02" w:rsidRPr="00BD4D02" w:rsidRDefault="00BD4D02" w:rsidP="00BD4D02">
            <w:pPr>
              <w:rPr>
                <w:sz w:val="20"/>
                <w:szCs w:val="20"/>
              </w:rPr>
            </w:pPr>
          </w:p>
        </w:tc>
        <w:tc>
          <w:tcPr>
            <w:tcW w:w="663" w:type="dxa"/>
            <w:shd w:val="clear" w:color="auto" w:fill="auto"/>
            <w:noWrap/>
            <w:vAlign w:val="bottom"/>
            <w:hideMark/>
          </w:tcPr>
          <w:p w14:paraId="5201AEAD" w14:textId="77777777" w:rsidR="00BD4D02" w:rsidRPr="00BD4D02" w:rsidRDefault="00BD4D02" w:rsidP="00BD4D02">
            <w:pPr>
              <w:rPr>
                <w:sz w:val="20"/>
                <w:szCs w:val="20"/>
              </w:rPr>
            </w:pPr>
          </w:p>
        </w:tc>
        <w:tc>
          <w:tcPr>
            <w:tcW w:w="663" w:type="dxa"/>
            <w:shd w:val="clear" w:color="auto" w:fill="auto"/>
            <w:noWrap/>
            <w:vAlign w:val="bottom"/>
            <w:hideMark/>
          </w:tcPr>
          <w:p w14:paraId="2596FF9C" w14:textId="77777777" w:rsidR="00BD4D02" w:rsidRPr="00BD4D02" w:rsidRDefault="00BD4D02" w:rsidP="00BD4D02">
            <w:pPr>
              <w:rPr>
                <w:sz w:val="20"/>
                <w:szCs w:val="20"/>
              </w:rPr>
            </w:pPr>
          </w:p>
        </w:tc>
        <w:tc>
          <w:tcPr>
            <w:tcW w:w="663" w:type="dxa"/>
            <w:shd w:val="clear" w:color="auto" w:fill="auto"/>
            <w:noWrap/>
            <w:vAlign w:val="bottom"/>
            <w:hideMark/>
          </w:tcPr>
          <w:p w14:paraId="2CD8D89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1180" w:type="dxa"/>
            <w:shd w:val="clear" w:color="auto" w:fill="auto"/>
            <w:noWrap/>
            <w:vAlign w:val="bottom"/>
            <w:hideMark/>
          </w:tcPr>
          <w:p w14:paraId="15F904CD"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6250E104" w14:textId="77777777" w:rsidTr="00050580">
        <w:trPr>
          <w:trHeight w:val="144"/>
        </w:trPr>
        <w:tc>
          <w:tcPr>
            <w:tcW w:w="4500" w:type="dxa"/>
            <w:shd w:val="clear" w:color="auto" w:fill="auto"/>
            <w:noWrap/>
            <w:vAlign w:val="bottom"/>
            <w:hideMark/>
          </w:tcPr>
          <w:p w14:paraId="00C439C8"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 xml:space="preserve">Internet - </w:t>
            </w:r>
            <w:proofErr w:type="spellStart"/>
            <w:r w:rsidRPr="00BD4D02">
              <w:rPr>
                <w:rFonts w:ascii="Calibri" w:hAnsi="Calibri" w:cs="Calibri"/>
                <w:color w:val="000000"/>
                <w:sz w:val="20"/>
                <w:szCs w:val="20"/>
              </w:rPr>
              <w:t>residental</w:t>
            </w:r>
            <w:proofErr w:type="spellEnd"/>
            <w:r w:rsidRPr="00BD4D02">
              <w:rPr>
                <w:rFonts w:ascii="Calibri" w:hAnsi="Calibri" w:cs="Calibri"/>
                <w:color w:val="000000"/>
                <w:sz w:val="20"/>
                <w:szCs w:val="20"/>
              </w:rPr>
              <w:t xml:space="preserve"> - speed</w:t>
            </w:r>
          </w:p>
        </w:tc>
        <w:tc>
          <w:tcPr>
            <w:tcW w:w="770" w:type="dxa"/>
            <w:shd w:val="clear" w:color="auto" w:fill="auto"/>
            <w:noWrap/>
            <w:vAlign w:val="bottom"/>
            <w:hideMark/>
          </w:tcPr>
          <w:p w14:paraId="02E9554C"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4C79FB75" w14:textId="77777777" w:rsidR="00BD4D02" w:rsidRPr="00BD4D02" w:rsidRDefault="00BD4D02" w:rsidP="00BD4D02">
            <w:pPr>
              <w:rPr>
                <w:sz w:val="20"/>
                <w:szCs w:val="20"/>
              </w:rPr>
            </w:pPr>
          </w:p>
        </w:tc>
        <w:tc>
          <w:tcPr>
            <w:tcW w:w="663" w:type="dxa"/>
            <w:shd w:val="clear" w:color="auto" w:fill="auto"/>
            <w:noWrap/>
            <w:vAlign w:val="bottom"/>
            <w:hideMark/>
          </w:tcPr>
          <w:p w14:paraId="7EB09B57" w14:textId="77777777" w:rsidR="00BD4D02" w:rsidRPr="00BD4D02" w:rsidRDefault="00BD4D02" w:rsidP="00BD4D02">
            <w:pPr>
              <w:rPr>
                <w:sz w:val="20"/>
                <w:szCs w:val="20"/>
              </w:rPr>
            </w:pPr>
          </w:p>
        </w:tc>
        <w:tc>
          <w:tcPr>
            <w:tcW w:w="663" w:type="dxa"/>
            <w:shd w:val="clear" w:color="auto" w:fill="auto"/>
            <w:noWrap/>
            <w:vAlign w:val="bottom"/>
            <w:hideMark/>
          </w:tcPr>
          <w:p w14:paraId="58445669" w14:textId="77777777" w:rsidR="00BD4D02" w:rsidRPr="00BD4D02" w:rsidRDefault="00BD4D02" w:rsidP="00BD4D02">
            <w:pPr>
              <w:rPr>
                <w:sz w:val="20"/>
                <w:szCs w:val="20"/>
              </w:rPr>
            </w:pPr>
          </w:p>
        </w:tc>
        <w:tc>
          <w:tcPr>
            <w:tcW w:w="663" w:type="dxa"/>
            <w:shd w:val="clear" w:color="auto" w:fill="auto"/>
            <w:noWrap/>
            <w:vAlign w:val="bottom"/>
            <w:hideMark/>
          </w:tcPr>
          <w:p w14:paraId="50B3D315" w14:textId="77777777" w:rsidR="00BD4D02" w:rsidRPr="00BD4D02" w:rsidRDefault="00BD4D02" w:rsidP="00BD4D02">
            <w:pPr>
              <w:rPr>
                <w:sz w:val="20"/>
                <w:szCs w:val="20"/>
              </w:rPr>
            </w:pPr>
          </w:p>
        </w:tc>
        <w:tc>
          <w:tcPr>
            <w:tcW w:w="663" w:type="dxa"/>
            <w:shd w:val="clear" w:color="auto" w:fill="auto"/>
            <w:noWrap/>
            <w:vAlign w:val="bottom"/>
            <w:hideMark/>
          </w:tcPr>
          <w:p w14:paraId="1DB5BDC6" w14:textId="77777777" w:rsidR="00BD4D02" w:rsidRPr="00BD4D02" w:rsidRDefault="00BD4D02" w:rsidP="00BD4D02">
            <w:pPr>
              <w:rPr>
                <w:sz w:val="20"/>
                <w:szCs w:val="20"/>
              </w:rPr>
            </w:pPr>
          </w:p>
        </w:tc>
        <w:tc>
          <w:tcPr>
            <w:tcW w:w="663" w:type="dxa"/>
            <w:shd w:val="clear" w:color="auto" w:fill="auto"/>
            <w:noWrap/>
            <w:vAlign w:val="bottom"/>
            <w:hideMark/>
          </w:tcPr>
          <w:p w14:paraId="603E130B"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486D7D17"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2B64AB0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5001226C"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56927A00"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4C5F3A00" w14:textId="77777777" w:rsidR="00BD4D02" w:rsidRPr="00BD4D02" w:rsidRDefault="00BD4D02" w:rsidP="00BD4D02">
            <w:pPr>
              <w:rPr>
                <w:sz w:val="20"/>
                <w:szCs w:val="20"/>
              </w:rPr>
            </w:pPr>
          </w:p>
        </w:tc>
        <w:tc>
          <w:tcPr>
            <w:tcW w:w="1180" w:type="dxa"/>
            <w:shd w:val="clear" w:color="auto" w:fill="auto"/>
            <w:noWrap/>
            <w:vAlign w:val="bottom"/>
            <w:hideMark/>
          </w:tcPr>
          <w:p w14:paraId="7C40F055"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4</w:t>
            </w:r>
          </w:p>
        </w:tc>
      </w:tr>
      <w:tr w:rsidR="00BD4D02" w:rsidRPr="00BD4D02" w14:paraId="619F56C1" w14:textId="77777777" w:rsidTr="00050580">
        <w:trPr>
          <w:trHeight w:val="144"/>
        </w:trPr>
        <w:tc>
          <w:tcPr>
            <w:tcW w:w="4500" w:type="dxa"/>
            <w:shd w:val="clear" w:color="auto" w:fill="auto"/>
            <w:noWrap/>
            <w:vAlign w:val="bottom"/>
            <w:hideMark/>
          </w:tcPr>
          <w:p w14:paraId="53D54545"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Internet - residential</w:t>
            </w:r>
          </w:p>
        </w:tc>
        <w:tc>
          <w:tcPr>
            <w:tcW w:w="770" w:type="dxa"/>
            <w:shd w:val="clear" w:color="auto" w:fill="auto"/>
            <w:noWrap/>
            <w:vAlign w:val="bottom"/>
            <w:hideMark/>
          </w:tcPr>
          <w:p w14:paraId="37CF5AB5"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28D7A826"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745A7DD6"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4E9A783F"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1703EC52"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0C8DBAB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343FD4EB"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0FD81331" w14:textId="77777777" w:rsidR="00BD4D02" w:rsidRPr="00BD4D02" w:rsidRDefault="00BD4D02" w:rsidP="00BD4D02">
            <w:pPr>
              <w:rPr>
                <w:sz w:val="20"/>
                <w:szCs w:val="20"/>
              </w:rPr>
            </w:pPr>
          </w:p>
        </w:tc>
        <w:tc>
          <w:tcPr>
            <w:tcW w:w="663" w:type="dxa"/>
            <w:shd w:val="clear" w:color="auto" w:fill="auto"/>
            <w:noWrap/>
            <w:vAlign w:val="bottom"/>
            <w:hideMark/>
          </w:tcPr>
          <w:p w14:paraId="6F64EDC7" w14:textId="77777777" w:rsidR="00BD4D02" w:rsidRPr="00BD4D02" w:rsidRDefault="00BD4D02" w:rsidP="00BD4D02">
            <w:pPr>
              <w:rPr>
                <w:sz w:val="20"/>
                <w:szCs w:val="20"/>
              </w:rPr>
            </w:pPr>
          </w:p>
        </w:tc>
        <w:tc>
          <w:tcPr>
            <w:tcW w:w="663" w:type="dxa"/>
            <w:shd w:val="clear" w:color="auto" w:fill="auto"/>
            <w:noWrap/>
            <w:vAlign w:val="bottom"/>
            <w:hideMark/>
          </w:tcPr>
          <w:p w14:paraId="0E02E73A" w14:textId="77777777" w:rsidR="00BD4D02" w:rsidRPr="00BD4D02" w:rsidRDefault="00BD4D02" w:rsidP="00BD4D02">
            <w:pPr>
              <w:rPr>
                <w:sz w:val="20"/>
                <w:szCs w:val="20"/>
              </w:rPr>
            </w:pPr>
          </w:p>
        </w:tc>
        <w:tc>
          <w:tcPr>
            <w:tcW w:w="663" w:type="dxa"/>
            <w:shd w:val="clear" w:color="auto" w:fill="auto"/>
            <w:noWrap/>
            <w:vAlign w:val="bottom"/>
            <w:hideMark/>
          </w:tcPr>
          <w:p w14:paraId="206D6055" w14:textId="77777777" w:rsidR="00BD4D02" w:rsidRPr="00BD4D02" w:rsidRDefault="00BD4D02" w:rsidP="00BD4D02">
            <w:pPr>
              <w:rPr>
                <w:sz w:val="20"/>
                <w:szCs w:val="20"/>
              </w:rPr>
            </w:pPr>
          </w:p>
        </w:tc>
        <w:tc>
          <w:tcPr>
            <w:tcW w:w="663" w:type="dxa"/>
            <w:shd w:val="clear" w:color="auto" w:fill="auto"/>
            <w:noWrap/>
            <w:vAlign w:val="bottom"/>
            <w:hideMark/>
          </w:tcPr>
          <w:p w14:paraId="1F156291" w14:textId="77777777" w:rsidR="00BD4D02" w:rsidRPr="00BD4D02" w:rsidRDefault="00BD4D02" w:rsidP="00BD4D02">
            <w:pPr>
              <w:rPr>
                <w:sz w:val="20"/>
                <w:szCs w:val="20"/>
              </w:rPr>
            </w:pPr>
          </w:p>
        </w:tc>
        <w:tc>
          <w:tcPr>
            <w:tcW w:w="1180" w:type="dxa"/>
            <w:shd w:val="clear" w:color="auto" w:fill="auto"/>
            <w:noWrap/>
            <w:vAlign w:val="bottom"/>
            <w:hideMark/>
          </w:tcPr>
          <w:p w14:paraId="1273054F"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6</w:t>
            </w:r>
          </w:p>
        </w:tc>
      </w:tr>
      <w:tr w:rsidR="00BD4D02" w:rsidRPr="00BD4D02" w14:paraId="286D8C50" w14:textId="77777777" w:rsidTr="00050580">
        <w:trPr>
          <w:trHeight w:val="144"/>
        </w:trPr>
        <w:tc>
          <w:tcPr>
            <w:tcW w:w="4500" w:type="dxa"/>
            <w:shd w:val="clear" w:color="auto" w:fill="auto"/>
            <w:noWrap/>
            <w:vAlign w:val="bottom"/>
            <w:hideMark/>
          </w:tcPr>
          <w:p w14:paraId="38D006A7"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Internet - retail - fixed</w:t>
            </w:r>
          </w:p>
        </w:tc>
        <w:tc>
          <w:tcPr>
            <w:tcW w:w="770" w:type="dxa"/>
            <w:shd w:val="clear" w:color="auto" w:fill="auto"/>
            <w:noWrap/>
            <w:vAlign w:val="bottom"/>
            <w:hideMark/>
          </w:tcPr>
          <w:p w14:paraId="1F9BF4A9"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3D05AF84" w14:textId="77777777" w:rsidR="00BD4D02" w:rsidRPr="00BD4D02" w:rsidRDefault="00BD4D02" w:rsidP="00BD4D02">
            <w:pPr>
              <w:rPr>
                <w:sz w:val="20"/>
                <w:szCs w:val="20"/>
              </w:rPr>
            </w:pPr>
          </w:p>
        </w:tc>
        <w:tc>
          <w:tcPr>
            <w:tcW w:w="663" w:type="dxa"/>
            <w:shd w:val="clear" w:color="auto" w:fill="auto"/>
            <w:noWrap/>
            <w:vAlign w:val="bottom"/>
            <w:hideMark/>
          </w:tcPr>
          <w:p w14:paraId="1E2B36AB" w14:textId="77777777" w:rsidR="00BD4D02" w:rsidRPr="00BD4D02" w:rsidRDefault="00BD4D02" w:rsidP="00BD4D02">
            <w:pPr>
              <w:rPr>
                <w:sz w:val="20"/>
                <w:szCs w:val="20"/>
              </w:rPr>
            </w:pPr>
          </w:p>
        </w:tc>
        <w:tc>
          <w:tcPr>
            <w:tcW w:w="663" w:type="dxa"/>
            <w:shd w:val="clear" w:color="auto" w:fill="auto"/>
            <w:noWrap/>
            <w:vAlign w:val="bottom"/>
            <w:hideMark/>
          </w:tcPr>
          <w:p w14:paraId="7ADCFE2E" w14:textId="77777777" w:rsidR="00BD4D02" w:rsidRPr="00BD4D02" w:rsidRDefault="00BD4D02" w:rsidP="00BD4D02">
            <w:pPr>
              <w:rPr>
                <w:sz w:val="20"/>
                <w:szCs w:val="20"/>
              </w:rPr>
            </w:pPr>
          </w:p>
        </w:tc>
        <w:tc>
          <w:tcPr>
            <w:tcW w:w="663" w:type="dxa"/>
            <w:shd w:val="clear" w:color="auto" w:fill="auto"/>
            <w:noWrap/>
            <w:vAlign w:val="bottom"/>
            <w:hideMark/>
          </w:tcPr>
          <w:p w14:paraId="0B103688" w14:textId="77777777" w:rsidR="00BD4D02" w:rsidRPr="00BD4D02" w:rsidRDefault="00BD4D02" w:rsidP="00BD4D02">
            <w:pPr>
              <w:rPr>
                <w:sz w:val="20"/>
                <w:szCs w:val="20"/>
              </w:rPr>
            </w:pPr>
          </w:p>
        </w:tc>
        <w:tc>
          <w:tcPr>
            <w:tcW w:w="663" w:type="dxa"/>
            <w:shd w:val="clear" w:color="auto" w:fill="auto"/>
            <w:noWrap/>
            <w:vAlign w:val="bottom"/>
            <w:hideMark/>
          </w:tcPr>
          <w:p w14:paraId="0808B0CA" w14:textId="77777777" w:rsidR="00BD4D02" w:rsidRPr="00BD4D02" w:rsidRDefault="00BD4D02" w:rsidP="00BD4D02">
            <w:pPr>
              <w:rPr>
                <w:sz w:val="20"/>
                <w:szCs w:val="20"/>
              </w:rPr>
            </w:pPr>
          </w:p>
        </w:tc>
        <w:tc>
          <w:tcPr>
            <w:tcW w:w="663" w:type="dxa"/>
            <w:shd w:val="clear" w:color="auto" w:fill="auto"/>
            <w:noWrap/>
            <w:vAlign w:val="bottom"/>
            <w:hideMark/>
          </w:tcPr>
          <w:p w14:paraId="5072DD65" w14:textId="77777777" w:rsidR="00BD4D02" w:rsidRPr="00BD4D02" w:rsidRDefault="00BD4D02" w:rsidP="00BD4D02">
            <w:pPr>
              <w:rPr>
                <w:sz w:val="20"/>
                <w:szCs w:val="20"/>
              </w:rPr>
            </w:pPr>
          </w:p>
        </w:tc>
        <w:tc>
          <w:tcPr>
            <w:tcW w:w="663" w:type="dxa"/>
            <w:shd w:val="clear" w:color="auto" w:fill="auto"/>
            <w:noWrap/>
            <w:vAlign w:val="bottom"/>
            <w:hideMark/>
          </w:tcPr>
          <w:p w14:paraId="61A4456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76068455"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730FB8DF" w14:textId="77777777" w:rsidR="00BD4D02" w:rsidRPr="00BD4D02" w:rsidRDefault="00BD4D02" w:rsidP="00BD4D02">
            <w:pPr>
              <w:rPr>
                <w:sz w:val="20"/>
                <w:szCs w:val="20"/>
              </w:rPr>
            </w:pPr>
          </w:p>
        </w:tc>
        <w:tc>
          <w:tcPr>
            <w:tcW w:w="663" w:type="dxa"/>
            <w:shd w:val="clear" w:color="auto" w:fill="auto"/>
            <w:noWrap/>
            <w:vAlign w:val="bottom"/>
            <w:hideMark/>
          </w:tcPr>
          <w:p w14:paraId="3D3436ED" w14:textId="77777777" w:rsidR="00BD4D02" w:rsidRPr="00BD4D02" w:rsidRDefault="00BD4D02" w:rsidP="00BD4D02">
            <w:pPr>
              <w:rPr>
                <w:sz w:val="20"/>
                <w:szCs w:val="20"/>
              </w:rPr>
            </w:pPr>
          </w:p>
        </w:tc>
        <w:tc>
          <w:tcPr>
            <w:tcW w:w="663" w:type="dxa"/>
            <w:shd w:val="clear" w:color="auto" w:fill="auto"/>
            <w:noWrap/>
            <w:vAlign w:val="bottom"/>
            <w:hideMark/>
          </w:tcPr>
          <w:p w14:paraId="172BFBF1" w14:textId="77777777" w:rsidR="00BD4D02" w:rsidRPr="00BD4D02" w:rsidRDefault="00BD4D02" w:rsidP="00BD4D02">
            <w:pPr>
              <w:rPr>
                <w:sz w:val="20"/>
                <w:szCs w:val="20"/>
              </w:rPr>
            </w:pPr>
          </w:p>
        </w:tc>
        <w:tc>
          <w:tcPr>
            <w:tcW w:w="1180" w:type="dxa"/>
            <w:shd w:val="clear" w:color="auto" w:fill="auto"/>
            <w:noWrap/>
            <w:vAlign w:val="bottom"/>
            <w:hideMark/>
          </w:tcPr>
          <w:p w14:paraId="0D6CF7DD"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32053A49" w14:textId="77777777" w:rsidTr="00050580">
        <w:trPr>
          <w:trHeight w:val="144"/>
        </w:trPr>
        <w:tc>
          <w:tcPr>
            <w:tcW w:w="4500" w:type="dxa"/>
            <w:shd w:val="clear" w:color="auto" w:fill="auto"/>
            <w:noWrap/>
            <w:vAlign w:val="bottom"/>
            <w:hideMark/>
          </w:tcPr>
          <w:p w14:paraId="0DACA74B"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Internet - speed</w:t>
            </w:r>
          </w:p>
        </w:tc>
        <w:tc>
          <w:tcPr>
            <w:tcW w:w="770" w:type="dxa"/>
            <w:shd w:val="clear" w:color="auto" w:fill="auto"/>
            <w:noWrap/>
            <w:vAlign w:val="bottom"/>
            <w:hideMark/>
          </w:tcPr>
          <w:p w14:paraId="339A8DA3"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4B387231" w14:textId="77777777" w:rsidR="00BD4D02" w:rsidRPr="00BD4D02" w:rsidRDefault="00BD4D02" w:rsidP="00BD4D02">
            <w:pPr>
              <w:rPr>
                <w:sz w:val="20"/>
                <w:szCs w:val="20"/>
              </w:rPr>
            </w:pPr>
          </w:p>
        </w:tc>
        <w:tc>
          <w:tcPr>
            <w:tcW w:w="663" w:type="dxa"/>
            <w:shd w:val="clear" w:color="auto" w:fill="auto"/>
            <w:noWrap/>
            <w:vAlign w:val="bottom"/>
            <w:hideMark/>
          </w:tcPr>
          <w:p w14:paraId="4F81A2AF"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3B4AE818"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43B6B65D"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537ED8DD"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44527046"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29AA0D0A" w14:textId="77777777" w:rsidR="00BD4D02" w:rsidRPr="00BD4D02" w:rsidRDefault="00BD4D02" w:rsidP="00BD4D02">
            <w:pPr>
              <w:rPr>
                <w:sz w:val="20"/>
                <w:szCs w:val="20"/>
              </w:rPr>
            </w:pPr>
          </w:p>
        </w:tc>
        <w:tc>
          <w:tcPr>
            <w:tcW w:w="663" w:type="dxa"/>
            <w:shd w:val="clear" w:color="auto" w:fill="auto"/>
            <w:noWrap/>
            <w:vAlign w:val="bottom"/>
            <w:hideMark/>
          </w:tcPr>
          <w:p w14:paraId="7BC309C7" w14:textId="77777777" w:rsidR="00BD4D02" w:rsidRPr="00BD4D02" w:rsidRDefault="00BD4D02" w:rsidP="00BD4D02">
            <w:pPr>
              <w:rPr>
                <w:sz w:val="20"/>
                <w:szCs w:val="20"/>
              </w:rPr>
            </w:pPr>
          </w:p>
        </w:tc>
        <w:tc>
          <w:tcPr>
            <w:tcW w:w="663" w:type="dxa"/>
            <w:shd w:val="clear" w:color="auto" w:fill="auto"/>
            <w:noWrap/>
            <w:vAlign w:val="bottom"/>
            <w:hideMark/>
          </w:tcPr>
          <w:p w14:paraId="045B0CA2" w14:textId="77777777" w:rsidR="00BD4D02" w:rsidRPr="00BD4D02" w:rsidRDefault="00BD4D02" w:rsidP="00BD4D02">
            <w:pPr>
              <w:rPr>
                <w:sz w:val="20"/>
                <w:szCs w:val="20"/>
              </w:rPr>
            </w:pPr>
          </w:p>
        </w:tc>
        <w:tc>
          <w:tcPr>
            <w:tcW w:w="663" w:type="dxa"/>
            <w:shd w:val="clear" w:color="auto" w:fill="auto"/>
            <w:noWrap/>
            <w:vAlign w:val="bottom"/>
            <w:hideMark/>
          </w:tcPr>
          <w:p w14:paraId="340067B6" w14:textId="77777777" w:rsidR="00BD4D02" w:rsidRPr="00BD4D02" w:rsidRDefault="00BD4D02" w:rsidP="00BD4D02">
            <w:pPr>
              <w:rPr>
                <w:sz w:val="20"/>
                <w:szCs w:val="20"/>
              </w:rPr>
            </w:pPr>
          </w:p>
        </w:tc>
        <w:tc>
          <w:tcPr>
            <w:tcW w:w="663" w:type="dxa"/>
            <w:shd w:val="clear" w:color="auto" w:fill="auto"/>
            <w:noWrap/>
            <w:vAlign w:val="bottom"/>
            <w:hideMark/>
          </w:tcPr>
          <w:p w14:paraId="0E978830"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1180" w:type="dxa"/>
            <w:shd w:val="clear" w:color="auto" w:fill="auto"/>
            <w:noWrap/>
            <w:vAlign w:val="bottom"/>
            <w:hideMark/>
          </w:tcPr>
          <w:p w14:paraId="66504F75"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5</w:t>
            </w:r>
          </w:p>
        </w:tc>
      </w:tr>
      <w:tr w:rsidR="00BD4D02" w:rsidRPr="00BD4D02" w14:paraId="0C6EF95E" w14:textId="77777777" w:rsidTr="00050580">
        <w:trPr>
          <w:trHeight w:val="144"/>
        </w:trPr>
        <w:tc>
          <w:tcPr>
            <w:tcW w:w="4500" w:type="dxa"/>
            <w:shd w:val="clear" w:color="auto" w:fill="auto"/>
            <w:noWrap/>
            <w:vAlign w:val="bottom"/>
            <w:hideMark/>
          </w:tcPr>
          <w:p w14:paraId="0D99C2E3"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Key indicators</w:t>
            </w:r>
          </w:p>
        </w:tc>
        <w:tc>
          <w:tcPr>
            <w:tcW w:w="770" w:type="dxa"/>
            <w:shd w:val="clear" w:color="auto" w:fill="auto"/>
            <w:noWrap/>
            <w:vAlign w:val="bottom"/>
            <w:hideMark/>
          </w:tcPr>
          <w:p w14:paraId="5ED63310"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5A71DA48"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5CCFE474"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2E7C305A"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6D57A9FC"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572118B7"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2BBDFB2D"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3259A6E5"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346465DA"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0AA41AB0" w14:textId="77777777" w:rsidR="00BD4D02" w:rsidRPr="00BD4D02" w:rsidRDefault="00BD4D02" w:rsidP="00BD4D02">
            <w:pPr>
              <w:rPr>
                <w:sz w:val="20"/>
                <w:szCs w:val="20"/>
              </w:rPr>
            </w:pPr>
          </w:p>
        </w:tc>
        <w:tc>
          <w:tcPr>
            <w:tcW w:w="663" w:type="dxa"/>
            <w:shd w:val="clear" w:color="auto" w:fill="auto"/>
            <w:noWrap/>
            <w:vAlign w:val="bottom"/>
            <w:hideMark/>
          </w:tcPr>
          <w:p w14:paraId="54A09825" w14:textId="77777777" w:rsidR="00BD4D02" w:rsidRPr="00BD4D02" w:rsidRDefault="00BD4D02" w:rsidP="00BD4D02">
            <w:pPr>
              <w:rPr>
                <w:sz w:val="20"/>
                <w:szCs w:val="20"/>
              </w:rPr>
            </w:pPr>
          </w:p>
        </w:tc>
        <w:tc>
          <w:tcPr>
            <w:tcW w:w="663" w:type="dxa"/>
            <w:shd w:val="clear" w:color="auto" w:fill="auto"/>
            <w:noWrap/>
            <w:vAlign w:val="bottom"/>
            <w:hideMark/>
          </w:tcPr>
          <w:p w14:paraId="2FF9A4D9" w14:textId="77777777" w:rsidR="00BD4D02" w:rsidRPr="00BD4D02" w:rsidRDefault="00BD4D02" w:rsidP="00BD4D02">
            <w:pPr>
              <w:rPr>
                <w:sz w:val="20"/>
                <w:szCs w:val="20"/>
              </w:rPr>
            </w:pPr>
          </w:p>
        </w:tc>
        <w:tc>
          <w:tcPr>
            <w:tcW w:w="1180" w:type="dxa"/>
            <w:shd w:val="clear" w:color="auto" w:fill="auto"/>
            <w:noWrap/>
            <w:vAlign w:val="bottom"/>
            <w:hideMark/>
          </w:tcPr>
          <w:p w14:paraId="1735F7C5"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8</w:t>
            </w:r>
          </w:p>
        </w:tc>
      </w:tr>
      <w:tr w:rsidR="00BD4D02" w:rsidRPr="00BD4D02" w14:paraId="4722DFC3" w14:textId="77777777" w:rsidTr="00050580">
        <w:trPr>
          <w:trHeight w:val="144"/>
        </w:trPr>
        <w:tc>
          <w:tcPr>
            <w:tcW w:w="4500" w:type="dxa"/>
            <w:shd w:val="clear" w:color="auto" w:fill="auto"/>
            <w:noWrap/>
            <w:vAlign w:val="bottom"/>
            <w:hideMark/>
          </w:tcPr>
          <w:p w14:paraId="1861327D"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Lines - fibre based</w:t>
            </w:r>
          </w:p>
        </w:tc>
        <w:tc>
          <w:tcPr>
            <w:tcW w:w="770" w:type="dxa"/>
            <w:shd w:val="clear" w:color="auto" w:fill="auto"/>
            <w:noWrap/>
            <w:vAlign w:val="bottom"/>
            <w:hideMark/>
          </w:tcPr>
          <w:p w14:paraId="63DAA6BF"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563BD636" w14:textId="77777777" w:rsidR="00BD4D02" w:rsidRPr="00BD4D02" w:rsidRDefault="00BD4D02" w:rsidP="00BD4D02">
            <w:pPr>
              <w:rPr>
                <w:sz w:val="20"/>
                <w:szCs w:val="20"/>
              </w:rPr>
            </w:pPr>
          </w:p>
        </w:tc>
        <w:tc>
          <w:tcPr>
            <w:tcW w:w="663" w:type="dxa"/>
            <w:shd w:val="clear" w:color="auto" w:fill="auto"/>
            <w:noWrap/>
            <w:vAlign w:val="bottom"/>
            <w:hideMark/>
          </w:tcPr>
          <w:p w14:paraId="5095B3E0" w14:textId="77777777" w:rsidR="00BD4D02" w:rsidRPr="00BD4D02" w:rsidRDefault="00BD4D02" w:rsidP="00BD4D02">
            <w:pPr>
              <w:rPr>
                <w:sz w:val="20"/>
                <w:szCs w:val="20"/>
              </w:rPr>
            </w:pPr>
          </w:p>
        </w:tc>
        <w:tc>
          <w:tcPr>
            <w:tcW w:w="663" w:type="dxa"/>
            <w:shd w:val="clear" w:color="auto" w:fill="auto"/>
            <w:noWrap/>
            <w:vAlign w:val="bottom"/>
            <w:hideMark/>
          </w:tcPr>
          <w:p w14:paraId="1A22858C" w14:textId="77777777" w:rsidR="00BD4D02" w:rsidRPr="00BD4D02" w:rsidRDefault="00BD4D02" w:rsidP="00BD4D02">
            <w:pPr>
              <w:rPr>
                <w:sz w:val="20"/>
                <w:szCs w:val="20"/>
              </w:rPr>
            </w:pPr>
          </w:p>
        </w:tc>
        <w:tc>
          <w:tcPr>
            <w:tcW w:w="663" w:type="dxa"/>
            <w:shd w:val="clear" w:color="auto" w:fill="auto"/>
            <w:noWrap/>
            <w:vAlign w:val="bottom"/>
            <w:hideMark/>
          </w:tcPr>
          <w:p w14:paraId="396A1849"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36328CD9"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4C5242FD"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0AE0BBCE" w14:textId="77777777" w:rsidR="00BD4D02" w:rsidRPr="00BD4D02" w:rsidRDefault="00BD4D02" w:rsidP="00BD4D02">
            <w:pPr>
              <w:rPr>
                <w:sz w:val="20"/>
                <w:szCs w:val="20"/>
              </w:rPr>
            </w:pPr>
          </w:p>
        </w:tc>
        <w:tc>
          <w:tcPr>
            <w:tcW w:w="663" w:type="dxa"/>
            <w:shd w:val="clear" w:color="auto" w:fill="auto"/>
            <w:noWrap/>
            <w:vAlign w:val="bottom"/>
            <w:hideMark/>
          </w:tcPr>
          <w:p w14:paraId="6A9183C8" w14:textId="77777777" w:rsidR="00BD4D02" w:rsidRPr="00BD4D02" w:rsidRDefault="00BD4D02" w:rsidP="00BD4D02">
            <w:pPr>
              <w:rPr>
                <w:sz w:val="20"/>
                <w:szCs w:val="20"/>
              </w:rPr>
            </w:pPr>
          </w:p>
        </w:tc>
        <w:tc>
          <w:tcPr>
            <w:tcW w:w="663" w:type="dxa"/>
            <w:shd w:val="clear" w:color="auto" w:fill="auto"/>
            <w:noWrap/>
            <w:vAlign w:val="bottom"/>
            <w:hideMark/>
          </w:tcPr>
          <w:p w14:paraId="6B798777" w14:textId="77777777" w:rsidR="00BD4D02" w:rsidRPr="00BD4D02" w:rsidRDefault="00BD4D02" w:rsidP="00BD4D02">
            <w:pPr>
              <w:rPr>
                <w:sz w:val="20"/>
                <w:szCs w:val="20"/>
              </w:rPr>
            </w:pPr>
          </w:p>
        </w:tc>
        <w:tc>
          <w:tcPr>
            <w:tcW w:w="663" w:type="dxa"/>
            <w:shd w:val="clear" w:color="auto" w:fill="auto"/>
            <w:noWrap/>
            <w:vAlign w:val="bottom"/>
            <w:hideMark/>
          </w:tcPr>
          <w:p w14:paraId="304ECB14" w14:textId="77777777" w:rsidR="00BD4D02" w:rsidRPr="00BD4D02" w:rsidRDefault="00BD4D02" w:rsidP="00BD4D02">
            <w:pPr>
              <w:rPr>
                <w:sz w:val="20"/>
                <w:szCs w:val="20"/>
              </w:rPr>
            </w:pPr>
          </w:p>
        </w:tc>
        <w:tc>
          <w:tcPr>
            <w:tcW w:w="663" w:type="dxa"/>
            <w:shd w:val="clear" w:color="auto" w:fill="auto"/>
            <w:noWrap/>
            <w:vAlign w:val="bottom"/>
            <w:hideMark/>
          </w:tcPr>
          <w:p w14:paraId="59D19901" w14:textId="77777777" w:rsidR="00BD4D02" w:rsidRPr="00BD4D02" w:rsidRDefault="00BD4D02" w:rsidP="00BD4D02">
            <w:pPr>
              <w:rPr>
                <w:sz w:val="20"/>
                <w:szCs w:val="20"/>
              </w:rPr>
            </w:pPr>
          </w:p>
        </w:tc>
        <w:tc>
          <w:tcPr>
            <w:tcW w:w="1180" w:type="dxa"/>
            <w:shd w:val="clear" w:color="auto" w:fill="auto"/>
            <w:noWrap/>
            <w:vAlign w:val="bottom"/>
            <w:hideMark/>
          </w:tcPr>
          <w:p w14:paraId="58E793ED"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r>
      <w:tr w:rsidR="00BD4D02" w:rsidRPr="00BD4D02" w14:paraId="145A9A4F" w14:textId="77777777" w:rsidTr="00050580">
        <w:trPr>
          <w:trHeight w:val="144"/>
        </w:trPr>
        <w:tc>
          <w:tcPr>
            <w:tcW w:w="4500" w:type="dxa"/>
            <w:shd w:val="clear" w:color="auto" w:fill="auto"/>
            <w:noWrap/>
            <w:vAlign w:val="bottom"/>
            <w:hideMark/>
          </w:tcPr>
          <w:p w14:paraId="1FEF0E90"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Local lines</w:t>
            </w:r>
          </w:p>
        </w:tc>
        <w:tc>
          <w:tcPr>
            <w:tcW w:w="770" w:type="dxa"/>
            <w:shd w:val="clear" w:color="auto" w:fill="auto"/>
            <w:noWrap/>
            <w:vAlign w:val="bottom"/>
            <w:hideMark/>
          </w:tcPr>
          <w:p w14:paraId="310E722C"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123EBCE2"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0BE0D4BD"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4B4E17B3"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0DEFFAFB"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4A7C3790"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1A6C7AFD"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4EB6F00F"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5B245979"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1C89519F"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5B0D125B"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1F8625D8" w14:textId="77777777" w:rsidR="00BD4D02" w:rsidRPr="00BD4D02" w:rsidRDefault="00BD4D02" w:rsidP="00BD4D02">
            <w:pPr>
              <w:rPr>
                <w:sz w:val="20"/>
                <w:szCs w:val="20"/>
              </w:rPr>
            </w:pPr>
          </w:p>
        </w:tc>
        <w:tc>
          <w:tcPr>
            <w:tcW w:w="1180" w:type="dxa"/>
            <w:shd w:val="clear" w:color="auto" w:fill="auto"/>
            <w:noWrap/>
            <w:vAlign w:val="bottom"/>
            <w:hideMark/>
          </w:tcPr>
          <w:p w14:paraId="7866A1D0"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11</w:t>
            </w:r>
          </w:p>
        </w:tc>
      </w:tr>
      <w:tr w:rsidR="00BD4D02" w:rsidRPr="00BD4D02" w14:paraId="3126983F" w14:textId="77777777" w:rsidTr="00050580">
        <w:trPr>
          <w:trHeight w:val="144"/>
        </w:trPr>
        <w:tc>
          <w:tcPr>
            <w:tcW w:w="4500" w:type="dxa"/>
            <w:shd w:val="clear" w:color="auto" w:fill="auto"/>
            <w:noWrap/>
            <w:vAlign w:val="bottom"/>
            <w:hideMark/>
          </w:tcPr>
          <w:p w14:paraId="72DE71FB"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LTE</w:t>
            </w:r>
          </w:p>
        </w:tc>
        <w:tc>
          <w:tcPr>
            <w:tcW w:w="770" w:type="dxa"/>
            <w:shd w:val="clear" w:color="auto" w:fill="auto"/>
            <w:noWrap/>
            <w:vAlign w:val="bottom"/>
            <w:hideMark/>
          </w:tcPr>
          <w:p w14:paraId="5AC7AD9B"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395C043A" w14:textId="77777777" w:rsidR="00BD4D02" w:rsidRPr="00BD4D02" w:rsidRDefault="00BD4D02" w:rsidP="00BD4D02">
            <w:pPr>
              <w:rPr>
                <w:sz w:val="20"/>
                <w:szCs w:val="20"/>
              </w:rPr>
            </w:pPr>
          </w:p>
        </w:tc>
        <w:tc>
          <w:tcPr>
            <w:tcW w:w="663" w:type="dxa"/>
            <w:shd w:val="clear" w:color="auto" w:fill="auto"/>
            <w:noWrap/>
            <w:vAlign w:val="bottom"/>
            <w:hideMark/>
          </w:tcPr>
          <w:p w14:paraId="1A1AF4A6" w14:textId="77777777" w:rsidR="00BD4D02" w:rsidRPr="00BD4D02" w:rsidRDefault="00BD4D02" w:rsidP="00BD4D02">
            <w:pPr>
              <w:rPr>
                <w:sz w:val="20"/>
                <w:szCs w:val="20"/>
              </w:rPr>
            </w:pPr>
          </w:p>
        </w:tc>
        <w:tc>
          <w:tcPr>
            <w:tcW w:w="663" w:type="dxa"/>
            <w:shd w:val="clear" w:color="auto" w:fill="auto"/>
            <w:noWrap/>
            <w:vAlign w:val="bottom"/>
            <w:hideMark/>
          </w:tcPr>
          <w:p w14:paraId="17283409" w14:textId="77777777" w:rsidR="00BD4D02" w:rsidRPr="00BD4D02" w:rsidRDefault="00BD4D02" w:rsidP="00BD4D02">
            <w:pPr>
              <w:rPr>
                <w:sz w:val="20"/>
                <w:szCs w:val="20"/>
              </w:rPr>
            </w:pPr>
          </w:p>
        </w:tc>
        <w:tc>
          <w:tcPr>
            <w:tcW w:w="663" w:type="dxa"/>
            <w:shd w:val="clear" w:color="auto" w:fill="auto"/>
            <w:noWrap/>
            <w:vAlign w:val="bottom"/>
            <w:hideMark/>
          </w:tcPr>
          <w:p w14:paraId="7C610BCB" w14:textId="77777777" w:rsidR="00BD4D02" w:rsidRPr="00BD4D02" w:rsidRDefault="00BD4D02" w:rsidP="00BD4D02">
            <w:pPr>
              <w:rPr>
                <w:sz w:val="20"/>
                <w:szCs w:val="20"/>
              </w:rPr>
            </w:pPr>
          </w:p>
        </w:tc>
        <w:tc>
          <w:tcPr>
            <w:tcW w:w="663" w:type="dxa"/>
            <w:shd w:val="clear" w:color="auto" w:fill="auto"/>
            <w:noWrap/>
            <w:vAlign w:val="bottom"/>
            <w:hideMark/>
          </w:tcPr>
          <w:p w14:paraId="320E5260" w14:textId="77777777" w:rsidR="00BD4D02" w:rsidRPr="00BD4D02" w:rsidRDefault="00BD4D02" w:rsidP="00BD4D02">
            <w:pPr>
              <w:rPr>
                <w:sz w:val="20"/>
                <w:szCs w:val="20"/>
              </w:rPr>
            </w:pPr>
          </w:p>
        </w:tc>
        <w:tc>
          <w:tcPr>
            <w:tcW w:w="663" w:type="dxa"/>
            <w:shd w:val="clear" w:color="auto" w:fill="auto"/>
            <w:noWrap/>
            <w:vAlign w:val="bottom"/>
            <w:hideMark/>
          </w:tcPr>
          <w:p w14:paraId="6A7AE871" w14:textId="77777777" w:rsidR="00BD4D02" w:rsidRPr="00BD4D02" w:rsidRDefault="00BD4D02" w:rsidP="00BD4D02">
            <w:pPr>
              <w:rPr>
                <w:sz w:val="20"/>
                <w:szCs w:val="20"/>
              </w:rPr>
            </w:pPr>
          </w:p>
        </w:tc>
        <w:tc>
          <w:tcPr>
            <w:tcW w:w="663" w:type="dxa"/>
            <w:shd w:val="clear" w:color="auto" w:fill="auto"/>
            <w:noWrap/>
            <w:vAlign w:val="bottom"/>
            <w:hideMark/>
          </w:tcPr>
          <w:p w14:paraId="08342067" w14:textId="77777777" w:rsidR="00BD4D02" w:rsidRPr="00BD4D02" w:rsidRDefault="00BD4D02" w:rsidP="00BD4D02">
            <w:pPr>
              <w:rPr>
                <w:sz w:val="20"/>
                <w:szCs w:val="20"/>
              </w:rPr>
            </w:pPr>
          </w:p>
        </w:tc>
        <w:tc>
          <w:tcPr>
            <w:tcW w:w="663" w:type="dxa"/>
            <w:shd w:val="clear" w:color="auto" w:fill="auto"/>
            <w:noWrap/>
            <w:vAlign w:val="bottom"/>
            <w:hideMark/>
          </w:tcPr>
          <w:p w14:paraId="52CBD1BB"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7039C34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73048A06"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102FFA4C" w14:textId="77777777" w:rsidR="00BD4D02" w:rsidRPr="00BD4D02" w:rsidRDefault="00BD4D02" w:rsidP="00BD4D02">
            <w:pPr>
              <w:rPr>
                <w:sz w:val="20"/>
                <w:szCs w:val="20"/>
              </w:rPr>
            </w:pPr>
          </w:p>
        </w:tc>
        <w:tc>
          <w:tcPr>
            <w:tcW w:w="1180" w:type="dxa"/>
            <w:shd w:val="clear" w:color="auto" w:fill="auto"/>
            <w:noWrap/>
            <w:vAlign w:val="bottom"/>
            <w:hideMark/>
          </w:tcPr>
          <w:p w14:paraId="1BA201AA"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r>
      <w:tr w:rsidR="00BD4D02" w:rsidRPr="00BD4D02" w14:paraId="169593D9" w14:textId="77777777" w:rsidTr="00050580">
        <w:trPr>
          <w:trHeight w:val="144"/>
        </w:trPr>
        <w:tc>
          <w:tcPr>
            <w:tcW w:w="4500" w:type="dxa"/>
            <w:shd w:val="clear" w:color="auto" w:fill="auto"/>
            <w:noWrap/>
            <w:vAlign w:val="bottom"/>
            <w:hideMark/>
          </w:tcPr>
          <w:p w14:paraId="30AB7949"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Mobile - %</w:t>
            </w:r>
          </w:p>
        </w:tc>
        <w:tc>
          <w:tcPr>
            <w:tcW w:w="770" w:type="dxa"/>
            <w:shd w:val="clear" w:color="auto" w:fill="auto"/>
            <w:noWrap/>
            <w:vAlign w:val="bottom"/>
            <w:hideMark/>
          </w:tcPr>
          <w:p w14:paraId="3D58BB8A"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101F64B1" w14:textId="77777777" w:rsidR="00BD4D02" w:rsidRPr="00BD4D02" w:rsidRDefault="00BD4D02" w:rsidP="00BD4D02">
            <w:pPr>
              <w:rPr>
                <w:sz w:val="20"/>
                <w:szCs w:val="20"/>
              </w:rPr>
            </w:pPr>
          </w:p>
        </w:tc>
        <w:tc>
          <w:tcPr>
            <w:tcW w:w="663" w:type="dxa"/>
            <w:shd w:val="clear" w:color="auto" w:fill="auto"/>
            <w:noWrap/>
            <w:vAlign w:val="bottom"/>
            <w:hideMark/>
          </w:tcPr>
          <w:p w14:paraId="1F669FB0" w14:textId="77777777" w:rsidR="00BD4D02" w:rsidRPr="00BD4D02" w:rsidRDefault="00BD4D02" w:rsidP="00BD4D02">
            <w:pPr>
              <w:rPr>
                <w:sz w:val="20"/>
                <w:szCs w:val="20"/>
              </w:rPr>
            </w:pPr>
          </w:p>
        </w:tc>
        <w:tc>
          <w:tcPr>
            <w:tcW w:w="663" w:type="dxa"/>
            <w:shd w:val="clear" w:color="auto" w:fill="auto"/>
            <w:noWrap/>
            <w:vAlign w:val="bottom"/>
            <w:hideMark/>
          </w:tcPr>
          <w:p w14:paraId="3F08DE0E" w14:textId="77777777" w:rsidR="00BD4D02" w:rsidRPr="00BD4D02" w:rsidRDefault="00BD4D02" w:rsidP="00BD4D02">
            <w:pPr>
              <w:rPr>
                <w:sz w:val="20"/>
                <w:szCs w:val="20"/>
              </w:rPr>
            </w:pPr>
          </w:p>
        </w:tc>
        <w:tc>
          <w:tcPr>
            <w:tcW w:w="663" w:type="dxa"/>
            <w:shd w:val="clear" w:color="auto" w:fill="auto"/>
            <w:noWrap/>
            <w:vAlign w:val="bottom"/>
            <w:hideMark/>
          </w:tcPr>
          <w:p w14:paraId="523BA4FD" w14:textId="77777777" w:rsidR="00BD4D02" w:rsidRPr="00BD4D02" w:rsidRDefault="00BD4D02" w:rsidP="00BD4D02">
            <w:pPr>
              <w:rPr>
                <w:sz w:val="20"/>
                <w:szCs w:val="20"/>
              </w:rPr>
            </w:pPr>
          </w:p>
        </w:tc>
        <w:tc>
          <w:tcPr>
            <w:tcW w:w="663" w:type="dxa"/>
            <w:shd w:val="clear" w:color="auto" w:fill="auto"/>
            <w:noWrap/>
            <w:vAlign w:val="bottom"/>
            <w:hideMark/>
          </w:tcPr>
          <w:p w14:paraId="553558F2" w14:textId="77777777" w:rsidR="00BD4D02" w:rsidRPr="00BD4D02" w:rsidRDefault="00BD4D02" w:rsidP="00BD4D02">
            <w:pPr>
              <w:rPr>
                <w:sz w:val="20"/>
                <w:szCs w:val="20"/>
              </w:rPr>
            </w:pPr>
          </w:p>
        </w:tc>
        <w:tc>
          <w:tcPr>
            <w:tcW w:w="663" w:type="dxa"/>
            <w:shd w:val="clear" w:color="auto" w:fill="auto"/>
            <w:noWrap/>
            <w:vAlign w:val="bottom"/>
            <w:hideMark/>
          </w:tcPr>
          <w:p w14:paraId="7AA23059" w14:textId="77777777" w:rsidR="00BD4D02" w:rsidRPr="00BD4D02" w:rsidRDefault="00BD4D02" w:rsidP="00BD4D02">
            <w:pPr>
              <w:rPr>
                <w:sz w:val="20"/>
                <w:szCs w:val="20"/>
              </w:rPr>
            </w:pPr>
          </w:p>
        </w:tc>
        <w:tc>
          <w:tcPr>
            <w:tcW w:w="663" w:type="dxa"/>
            <w:shd w:val="clear" w:color="auto" w:fill="auto"/>
            <w:noWrap/>
            <w:vAlign w:val="bottom"/>
            <w:hideMark/>
          </w:tcPr>
          <w:p w14:paraId="3B25D0E0" w14:textId="77777777" w:rsidR="00BD4D02" w:rsidRPr="00BD4D02" w:rsidRDefault="00BD4D02" w:rsidP="00BD4D02">
            <w:pPr>
              <w:rPr>
                <w:sz w:val="20"/>
                <w:szCs w:val="20"/>
              </w:rPr>
            </w:pPr>
          </w:p>
        </w:tc>
        <w:tc>
          <w:tcPr>
            <w:tcW w:w="663" w:type="dxa"/>
            <w:shd w:val="clear" w:color="auto" w:fill="auto"/>
            <w:noWrap/>
            <w:vAlign w:val="bottom"/>
            <w:hideMark/>
          </w:tcPr>
          <w:p w14:paraId="34CAF5AC" w14:textId="77777777" w:rsidR="00BD4D02" w:rsidRPr="00BD4D02" w:rsidRDefault="00BD4D02" w:rsidP="00BD4D02">
            <w:pPr>
              <w:rPr>
                <w:sz w:val="20"/>
                <w:szCs w:val="20"/>
              </w:rPr>
            </w:pPr>
          </w:p>
        </w:tc>
        <w:tc>
          <w:tcPr>
            <w:tcW w:w="663" w:type="dxa"/>
            <w:shd w:val="clear" w:color="auto" w:fill="auto"/>
            <w:noWrap/>
            <w:vAlign w:val="bottom"/>
            <w:hideMark/>
          </w:tcPr>
          <w:p w14:paraId="693F8838" w14:textId="77777777" w:rsidR="00BD4D02" w:rsidRPr="00BD4D02" w:rsidRDefault="00BD4D02" w:rsidP="00BD4D02">
            <w:pPr>
              <w:rPr>
                <w:sz w:val="20"/>
                <w:szCs w:val="20"/>
              </w:rPr>
            </w:pPr>
          </w:p>
        </w:tc>
        <w:tc>
          <w:tcPr>
            <w:tcW w:w="663" w:type="dxa"/>
            <w:shd w:val="clear" w:color="auto" w:fill="auto"/>
            <w:noWrap/>
            <w:vAlign w:val="bottom"/>
            <w:hideMark/>
          </w:tcPr>
          <w:p w14:paraId="4559CA26" w14:textId="77777777" w:rsidR="00BD4D02" w:rsidRPr="00BD4D02" w:rsidRDefault="00BD4D02" w:rsidP="00BD4D02">
            <w:pPr>
              <w:rPr>
                <w:sz w:val="20"/>
                <w:szCs w:val="20"/>
              </w:rPr>
            </w:pPr>
          </w:p>
        </w:tc>
        <w:tc>
          <w:tcPr>
            <w:tcW w:w="663" w:type="dxa"/>
            <w:shd w:val="clear" w:color="auto" w:fill="auto"/>
            <w:noWrap/>
            <w:vAlign w:val="bottom"/>
            <w:hideMark/>
          </w:tcPr>
          <w:p w14:paraId="20ACECAC"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1180" w:type="dxa"/>
            <w:shd w:val="clear" w:color="auto" w:fill="auto"/>
            <w:noWrap/>
            <w:vAlign w:val="bottom"/>
            <w:hideMark/>
          </w:tcPr>
          <w:p w14:paraId="2500464C"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7F6513D8" w14:textId="77777777" w:rsidTr="00050580">
        <w:trPr>
          <w:trHeight w:val="144"/>
        </w:trPr>
        <w:tc>
          <w:tcPr>
            <w:tcW w:w="4500" w:type="dxa"/>
            <w:shd w:val="clear" w:color="auto" w:fill="auto"/>
            <w:noWrap/>
            <w:vAlign w:val="bottom"/>
            <w:hideMark/>
          </w:tcPr>
          <w:p w14:paraId="0355B531"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VOIP - retail</w:t>
            </w:r>
          </w:p>
        </w:tc>
        <w:tc>
          <w:tcPr>
            <w:tcW w:w="770" w:type="dxa"/>
            <w:shd w:val="clear" w:color="auto" w:fill="auto"/>
            <w:noWrap/>
            <w:vAlign w:val="bottom"/>
            <w:hideMark/>
          </w:tcPr>
          <w:p w14:paraId="0A14C59D"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59EDBCF9" w14:textId="77777777" w:rsidR="00BD4D02" w:rsidRPr="00BD4D02" w:rsidRDefault="00BD4D02" w:rsidP="00BD4D02">
            <w:pPr>
              <w:rPr>
                <w:sz w:val="20"/>
                <w:szCs w:val="20"/>
              </w:rPr>
            </w:pPr>
          </w:p>
        </w:tc>
        <w:tc>
          <w:tcPr>
            <w:tcW w:w="663" w:type="dxa"/>
            <w:shd w:val="clear" w:color="auto" w:fill="auto"/>
            <w:noWrap/>
            <w:vAlign w:val="bottom"/>
            <w:hideMark/>
          </w:tcPr>
          <w:p w14:paraId="10778B5B" w14:textId="77777777" w:rsidR="00BD4D02" w:rsidRPr="00BD4D02" w:rsidRDefault="00BD4D02" w:rsidP="00BD4D02">
            <w:pPr>
              <w:rPr>
                <w:sz w:val="20"/>
                <w:szCs w:val="20"/>
              </w:rPr>
            </w:pPr>
          </w:p>
        </w:tc>
        <w:tc>
          <w:tcPr>
            <w:tcW w:w="663" w:type="dxa"/>
            <w:shd w:val="clear" w:color="auto" w:fill="auto"/>
            <w:noWrap/>
            <w:vAlign w:val="bottom"/>
            <w:hideMark/>
          </w:tcPr>
          <w:p w14:paraId="5529CEF1" w14:textId="77777777" w:rsidR="00BD4D02" w:rsidRPr="00BD4D02" w:rsidRDefault="00BD4D02" w:rsidP="00BD4D02">
            <w:pPr>
              <w:rPr>
                <w:sz w:val="20"/>
                <w:szCs w:val="20"/>
              </w:rPr>
            </w:pPr>
          </w:p>
        </w:tc>
        <w:tc>
          <w:tcPr>
            <w:tcW w:w="663" w:type="dxa"/>
            <w:shd w:val="clear" w:color="auto" w:fill="auto"/>
            <w:noWrap/>
            <w:vAlign w:val="bottom"/>
            <w:hideMark/>
          </w:tcPr>
          <w:p w14:paraId="3FF4C5D3"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2C55F410"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7880DD6E"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02BBBA14" w14:textId="77777777" w:rsidR="00BD4D02" w:rsidRPr="00BD4D02" w:rsidRDefault="00BD4D02" w:rsidP="00BD4D02">
            <w:pPr>
              <w:rPr>
                <w:sz w:val="20"/>
                <w:szCs w:val="20"/>
              </w:rPr>
            </w:pPr>
          </w:p>
        </w:tc>
        <w:tc>
          <w:tcPr>
            <w:tcW w:w="663" w:type="dxa"/>
            <w:shd w:val="clear" w:color="auto" w:fill="auto"/>
            <w:noWrap/>
            <w:vAlign w:val="bottom"/>
            <w:hideMark/>
          </w:tcPr>
          <w:p w14:paraId="76DE4124" w14:textId="77777777" w:rsidR="00BD4D02" w:rsidRPr="00BD4D02" w:rsidRDefault="00BD4D02" w:rsidP="00BD4D02">
            <w:pPr>
              <w:rPr>
                <w:sz w:val="20"/>
                <w:szCs w:val="20"/>
              </w:rPr>
            </w:pPr>
          </w:p>
        </w:tc>
        <w:tc>
          <w:tcPr>
            <w:tcW w:w="663" w:type="dxa"/>
            <w:shd w:val="clear" w:color="auto" w:fill="auto"/>
            <w:noWrap/>
            <w:vAlign w:val="bottom"/>
            <w:hideMark/>
          </w:tcPr>
          <w:p w14:paraId="477604E8" w14:textId="77777777" w:rsidR="00BD4D02" w:rsidRPr="00BD4D02" w:rsidRDefault="00BD4D02" w:rsidP="00BD4D02">
            <w:pPr>
              <w:rPr>
                <w:sz w:val="20"/>
                <w:szCs w:val="20"/>
              </w:rPr>
            </w:pPr>
          </w:p>
        </w:tc>
        <w:tc>
          <w:tcPr>
            <w:tcW w:w="663" w:type="dxa"/>
            <w:shd w:val="clear" w:color="auto" w:fill="auto"/>
            <w:noWrap/>
            <w:vAlign w:val="bottom"/>
            <w:hideMark/>
          </w:tcPr>
          <w:p w14:paraId="15A70862" w14:textId="77777777" w:rsidR="00BD4D02" w:rsidRPr="00BD4D02" w:rsidRDefault="00BD4D02" w:rsidP="00BD4D02">
            <w:pPr>
              <w:rPr>
                <w:sz w:val="20"/>
                <w:szCs w:val="20"/>
              </w:rPr>
            </w:pPr>
          </w:p>
        </w:tc>
        <w:tc>
          <w:tcPr>
            <w:tcW w:w="663" w:type="dxa"/>
            <w:shd w:val="clear" w:color="auto" w:fill="auto"/>
            <w:noWrap/>
            <w:vAlign w:val="bottom"/>
            <w:hideMark/>
          </w:tcPr>
          <w:p w14:paraId="43F951BF" w14:textId="77777777" w:rsidR="00BD4D02" w:rsidRPr="00BD4D02" w:rsidRDefault="00BD4D02" w:rsidP="00BD4D02">
            <w:pPr>
              <w:rPr>
                <w:sz w:val="20"/>
                <w:szCs w:val="20"/>
              </w:rPr>
            </w:pPr>
          </w:p>
        </w:tc>
        <w:tc>
          <w:tcPr>
            <w:tcW w:w="1180" w:type="dxa"/>
            <w:shd w:val="clear" w:color="auto" w:fill="auto"/>
            <w:noWrap/>
            <w:vAlign w:val="bottom"/>
            <w:hideMark/>
          </w:tcPr>
          <w:p w14:paraId="4EC1E46D"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r>
      <w:tr w:rsidR="00BD4D02" w:rsidRPr="00BD4D02" w14:paraId="2D52A863" w14:textId="77777777" w:rsidTr="00050580">
        <w:trPr>
          <w:trHeight w:val="144"/>
        </w:trPr>
        <w:tc>
          <w:tcPr>
            <w:tcW w:w="4500" w:type="dxa"/>
            <w:shd w:val="clear" w:color="auto" w:fill="auto"/>
            <w:noWrap/>
            <w:vAlign w:val="bottom"/>
            <w:hideMark/>
          </w:tcPr>
          <w:p w14:paraId="63B73509"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WIFI hotspots - number</w:t>
            </w:r>
          </w:p>
        </w:tc>
        <w:tc>
          <w:tcPr>
            <w:tcW w:w="770" w:type="dxa"/>
            <w:shd w:val="clear" w:color="auto" w:fill="auto"/>
            <w:noWrap/>
            <w:vAlign w:val="bottom"/>
            <w:hideMark/>
          </w:tcPr>
          <w:p w14:paraId="067A85F2"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25714911" w14:textId="77777777" w:rsidR="00BD4D02" w:rsidRPr="00BD4D02" w:rsidRDefault="00BD4D02" w:rsidP="00BD4D02">
            <w:pPr>
              <w:rPr>
                <w:sz w:val="20"/>
                <w:szCs w:val="20"/>
              </w:rPr>
            </w:pPr>
          </w:p>
        </w:tc>
        <w:tc>
          <w:tcPr>
            <w:tcW w:w="663" w:type="dxa"/>
            <w:shd w:val="clear" w:color="auto" w:fill="auto"/>
            <w:noWrap/>
            <w:vAlign w:val="bottom"/>
            <w:hideMark/>
          </w:tcPr>
          <w:p w14:paraId="060CD4D7" w14:textId="77777777" w:rsidR="00BD4D02" w:rsidRPr="00BD4D02" w:rsidRDefault="00BD4D02" w:rsidP="00BD4D02">
            <w:pPr>
              <w:rPr>
                <w:sz w:val="20"/>
                <w:szCs w:val="20"/>
              </w:rPr>
            </w:pPr>
          </w:p>
        </w:tc>
        <w:tc>
          <w:tcPr>
            <w:tcW w:w="663" w:type="dxa"/>
            <w:shd w:val="clear" w:color="auto" w:fill="auto"/>
            <w:noWrap/>
            <w:vAlign w:val="bottom"/>
            <w:hideMark/>
          </w:tcPr>
          <w:p w14:paraId="354DF068" w14:textId="77777777" w:rsidR="00BD4D02" w:rsidRPr="00BD4D02" w:rsidRDefault="00BD4D02" w:rsidP="00BD4D02">
            <w:pPr>
              <w:rPr>
                <w:sz w:val="20"/>
                <w:szCs w:val="20"/>
              </w:rPr>
            </w:pPr>
          </w:p>
        </w:tc>
        <w:tc>
          <w:tcPr>
            <w:tcW w:w="663" w:type="dxa"/>
            <w:shd w:val="clear" w:color="auto" w:fill="auto"/>
            <w:noWrap/>
            <w:vAlign w:val="bottom"/>
            <w:hideMark/>
          </w:tcPr>
          <w:p w14:paraId="0A0C9762" w14:textId="77777777" w:rsidR="00BD4D02" w:rsidRPr="00BD4D02" w:rsidRDefault="00BD4D02" w:rsidP="00BD4D02">
            <w:pPr>
              <w:rPr>
                <w:sz w:val="20"/>
                <w:szCs w:val="20"/>
              </w:rPr>
            </w:pPr>
          </w:p>
        </w:tc>
        <w:tc>
          <w:tcPr>
            <w:tcW w:w="663" w:type="dxa"/>
            <w:shd w:val="clear" w:color="auto" w:fill="auto"/>
            <w:noWrap/>
            <w:vAlign w:val="bottom"/>
            <w:hideMark/>
          </w:tcPr>
          <w:p w14:paraId="201836A9" w14:textId="77777777" w:rsidR="00BD4D02" w:rsidRPr="00BD4D02" w:rsidRDefault="00BD4D02" w:rsidP="00BD4D02">
            <w:pPr>
              <w:rPr>
                <w:sz w:val="20"/>
                <w:szCs w:val="20"/>
              </w:rPr>
            </w:pPr>
          </w:p>
        </w:tc>
        <w:tc>
          <w:tcPr>
            <w:tcW w:w="663" w:type="dxa"/>
            <w:shd w:val="clear" w:color="auto" w:fill="auto"/>
            <w:noWrap/>
            <w:vAlign w:val="bottom"/>
            <w:hideMark/>
          </w:tcPr>
          <w:p w14:paraId="5BF5C3BD" w14:textId="77777777" w:rsidR="00BD4D02" w:rsidRPr="00BD4D02" w:rsidRDefault="00BD4D02" w:rsidP="00BD4D02">
            <w:pPr>
              <w:rPr>
                <w:sz w:val="20"/>
                <w:szCs w:val="20"/>
              </w:rPr>
            </w:pPr>
          </w:p>
        </w:tc>
        <w:tc>
          <w:tcPr>
            <w:tcW w:w="663" w:type="dxa"/>
            <w:shd w:val="clear" w:color="auto" w:fill="auto"/>
            <w:noWrap/>
            <w:vAlign w:val="bottom"/>
            <w:hideMark/>
          </w:tcPr>
          <w:p w14:paraId="7E631B66"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3B1F0DEB"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3165BF92"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27731DA8"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064572CD"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1180" w:type="dxa"/>
            <w:shd w:val="clear" w:color="auto" w:fill="auto"/>
            <w:noWrap/>
            <w:vAlign w:val="bottom"/>
            <w:hideMark/>
          </w:tcPr>
          <w:p w14:paraId="3151E1DD"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8</w:t>
            </w:r>
          </w:p>
        </w:tc>
      </w:tr>
      <w:tr w:rsidR="00BD4D02" w:rsidRPr="00BD4D02" w14:paraId="7EE72732" w14:textId="77777777" w:rsidTr="00050580">
        <w:trPr>
          <w:trHeight w:val="144"/>
        </w:trPr>
        <w:tc>
          <w:tcPr>
            <w:tcW w:w="4500" w:type="dxa"/>
            <w:shd w:val="clear" w:color="auto" w:fill="auto"/>
            <w:noWrap/>
            <w:vAlign w:val="bottom"/>
            <w:hideMark/>
          </w:tcPr>
          <w:p w14:paraId="5712B448"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Wireless</w:t>
            </w:r>
          </w:p>
        </w:tc>
        <w:tc>
          <w:tcPr>
            <w:tcW w:w="770" w:type="dxa"/>
            <w:shd w:val="clear" w:color="auto" w:fill="auto"/>
            <w:noWrap/>
            <w:vAlign w:val="bottom"/>
            <w:hideMark/>
          </w:tcPr>
          <w:p w14:paraId="039B1197"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6EFE82C1" w14:textId="77777777" w:rsidR="00BD4D02" w:rsidRPr="00BD4D02" w:rsidRDefault="00BD4D02" w:rsidP="00BD4D02">
            <w:pPr>
              <w:rPr>
                <w:sz w:val="20"/>
                <w:szCs w:val="20"/>
              </w:rPr>
            </w:pPr>
          </w:p>
        </w:tc>
        <w:tc>
          <w:tcPr>
            <w:tcW w:w="663" w:type="dxa"/>
            <w:shd w:val="clear" w:color="auto" w:fill="auto"/>
            <w:noWrap/>
            <w:vAlign w:val="bottom"/>
            <w:hideMark/>
          </w:tcPr>
          <w:p w14:paraId="34EB0918" w14:textId="77777777" w:rsidR="00BD4D02" w:rsidRPr="00BD4D02" w:rsidRDefault="00BD4D02" w:rsidP="00BD4D02">
            <w:pPr>
              <w:rPr>
                <w:sz w:val="20"/>
                <w:szCs w:val="20"/>
              </w:rPr>
            </w:pPr>
          </w:p>
        </w:tc>
        <w:tc>
          <w:tcPr>
            <w:tcW w:w="663" w:type="dxa"/>
            <w:shd w:val="clear" w:color="auto" w:fill="auto"/>
            <w:noWrap/>
            <w:vAlign w:val="bottom"/>
            <w:hideMark/>
          </w:tcPr>
          <w:p w14:paraId="37C8B59C" w14:textId="77777777" w:rsidR="00BD4D02" w:rsidRPr="00BD4D02" w:rsidRDefault="00BD4D02" w:rsidP="00BD4D02">
            <w:pPr>
              <w:rPr>
                <w:sz w:val="20"/>
                <w:szCs w:val="20"/>
              </w:rPr>
            </w:pPr>
          </w:p>
        </w:tc>
        <w:tc>
          <w:tcPr>
            <w:tcW w:w="663" w:type="dxa"/>
            <w:shd w:val="clear" w:color="auto" w:fill="auto"/>
            <w:noWrap/>
            <w:vAlign w:val="bottom"/>
            <w:hideMark/>
          </w:tcPr>
          <w:p w14:paraId="29EBFDFC" w14:textId="77777777" w:rsidR="00BD4D02" w:rsidRPr="00BD4D02" w:rsidRDefault="00BD4D02" w:rsidP="00BD4D02">
            <w:pPr>
              <w:rPr>
                <w:sz w:val="20"/>
                <w:szCs w:val="20"/>
              </w:rPr>
            </w:pPr>
          </w:p>
        </w:tc>
        <w:tc>
          <w:tcPr>
            <w:tcW w:w="663" w:type="dxa"/>
            <w:shd w:val="clear" w:color="auto" w:fill="auto"/>
            <w:noWrap/>
            <w:vAlign w:val="bottom"/>
            <w:hideMark/>
          </w:tcPr>
          <w:p w14:paraId="5D7B7DFE"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659D641F"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6216D3D9"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20CA1CD3"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04C0A133"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6CF4CD22"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066E869E" w14:textId="77777777" w:rsidR="00BD4D02" w:rsidRPr="00BD4D02" w:rsidRDefault="00BD4D02" w:rsidP="00BD4D02">
            <w:pPr>
              <w:rPr>
                <w:sz w:val="20"/>
                <w:szCs w:val="20"/>
              </w:rPr>
            </w:pPr>
          </w:p>
        </w:tc>
        <w:tc>
          <w:tcPr>
            <w:tcW w:w="1180" w:type="dxa"/>
            <w:shd w:val="clear" w:color="auto" w:fill="auto"/>
            <w:noWrap/>
            <w:vAlign w:val="bottom"/>
            <w:hideMark/>
          </w:tcPr>
          <w:p w14:paraId="592F1937"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6</w:t>
            </w:r>
          </w:p>
        </w:tc>
      </w:tr>
      <w:tr w:rsidR="00BD4D02" w:rsidRPr="00BD4D02" w14:paraId="2C55A0D8" w14:textId="77777777" w:rsidTr="00050580">
        <w:trPr>
          <w:trHeight w:val="144"/>
        </w:trPr>
        <w:tc>
          <w:tcPr>
            <w:tcW w:w="4500" w:type="dxa"/>
            <w:shd w:val="clear" w:color="auto" w:fill="auto"/>
            <w:noWrap/>
            <w:vAlign w:val="bottom"/>
            <w:hideMark/>
          </w:tcPr>
          <w:p w14:paraId="04D7AFAA"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Wireless - 3G</w:t>
            </w:r>
          </w:p>
        </w:tc>
        <w:tc>
          <w:tcPr>
            <w:tcW w:w="770" w:type="dxa"/>
            <w:shd w:val="clear" w:color="auto" w:fill="auto"/>
            <w:noWrap/>
            <w:vAlign w:val="bottom"/>
            <w:hideMark/>
          </w:tcPr>
          <w:p w14:paraId="617AC208"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3D728C5E"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6E7FB55B"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345D61A4"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7D779489" w14:textId="77777777" w:rsidR="00BD4D02" w:rsidRPr="00BD4D02" w:rsidRDefault="00BD4D02" w:rsidP="00BD4D02">
            <w:pPr>
              <w:rPr>
                <w:sz w:val="20"/>
                <w:szCs w:val="20"/>
              </w:rPr>
            </w:pPr>
          </w:p>
        </w:tc>
        <w:tc>
          <w:tcPr>
            <w:tcW w:w="663" w:type="dxa"/>
            <w:shd w:val="clear" w:color="auto" w:fill="auto"/>
            <w:noWrap/>
            <w:vAlign w:val="bottom"/>
            <w:hideMark/>
          </w:tcPr>
          <w:p w14:paraId="6F8A424E" w14:textId="77777777" w:rsidR="00BD4D02" w:rsidRPr="00BD4D02" w:rsidRDefault="00BD4D02" w:rsidP="00BD4D02">
            <w:pPr>
              <w:rPr>
                <w:sz w:val="20"/>
                <w:szCs w:val="20"/>
              </w:rPr>
            </w:pPr>
          </w:p>
        </w:tc>
        <w:tc>
          <w:tcPr>
            <w:tcW w:w="663" w:type="dxa"/>
            <w:shd w:val="clear" w:color="auto" w:fill="auto"/>
            <w:noWrap/>
            <w:vAlign w:val="bottom"/>
            <w:hideMark/>
          </w:tcPr>
          <w:p w14:paraId="261E91F7" w14:textId="77777777" w:rsidR="00BD4D02" w:rsidRPr="00BD4D02" w:rsidRDefault="00BD4D02" w:rsidP="00BD4D02">
            <w:pPr>
              <w:rPr>
                <w:sz w:val="20"/>
                <w:szCs w:val="20"/>
              </w:rPr>
            </w:pPr>
          </w:p>
        </w:tc>
        <w:tc>
          <w:tcPr>
            <w:tcW w:w="663" w:type="dxa"/>
            <w:shd w:val="clear" w:color="auto" w:fill="auto"/>
            <w:noWrap/>
            <w:vAlign w:val="bottom"/>
            <w:hideMark/>
          </w:tcPr>
          <w:p w14:paraId="7DD26C4C" w14:textId="77777777" w:rsidR="00BD4D02" w:rsidRPr="00BD4D02" w:rsidRDefault="00BD4D02" w:rsidP="00BD4D02">
            <w:pPr>
              <w:rPr>
                <w:sz w:val="20"/>
                <w:szCs w:val="20"/>
              </w:rPr>
            </w:pPr>
          </w:p>
        </w:tc>
        <w:tc>
          <w:tcPr>
            <w:tcW w:w="663" w:type="dxa"/>
            <w:shd w:val="clear" w:color="auto" w:fill="auto"/>
            <w:noWrap/>
            <w:vAlign w:val="bottom"/>
            <w:hideMark/>
          </w:tcPr>
          <w:p w14:paraId="0C9188F6" w14:textId="77777777" w:rsidR="00BD4D02" w:rsidRPr="00BD4D02" w:rsidRDefault="00BD4D02" w:rsidP="00BD4D02">
            <w:pPr>
              <w:rPr>
                <w:sz w:val="20"/>
                <w:szCs w:val="20"/>
              </w:rPr>
            </w:pPr>
          </w:p>
        </w:tc>
        <w:tc>
          <w:tcPr>
            <w:tcW w:w="663" w:type="dxa"/>
            <w:shd w:val="clear" w:color="auto" w:fill="auto"/>
            <w:noWrap/>
            <w:vAlign w:val="bottom"/>
            <w:hideMark/>
          </w:tcPr>
          <w:p w14:paraId="464007D4" w14:textId="77777777" w:rsidR="00BD4D02" w:rsidRPr="00BD4D02" w:rsidRDefault="00BD4D02" w:rsidP="00BD4D02">
            <w:pPr>
              <w:rPr>
                <w:sz w:val="20"/>
                <w:szCs w:val="20"/>
              </w:rPr>
            </w:pPr>
          </w:p>
        </w:tc>
        <w:tc>
          <w:tcPr>
            <w:tcW w:w="663" w:type="dxa"/>
            <w:shd w:val="clear" w:color="auto" w:fill="auto"/>
            <w:noWrap/>
            <w:vAlign w:val="bottom"/>
            <w:hideMark/>
          </w:tcPr>
          <w:p w14:paraId="21792E47" w14:textId="77777777" w:rsidR="00BD4D02" w:rsidRPr="00BD4D02" w:rsidRDefault="00BD4D02" w:rsidP="00BD4D02">
            <w:pPr>
              <w:rPr>
                <w:sz w:val="20"/>
                <w:szCs w:val="20"/>
              </w:rPr>
            </w:pPr>
          </w:p>
        </w:tc>
        <w:tc>
          <w:tcPr>
            <w:tcW w:w="663" w:type="dxa"/>
            <w:shd w:val="clear" w:color="auto" w:fill="auto"/>
            <w:noWrap/>
            <w:vAlign w:val="bottom"/>
            <w:hideMark/>
          </w:tcPr>
          <w:p w14:paraId="40F1209A" w14:textId="77777777" w:rsidR="00BD4D02" w:rsidRPr="00BD4D02" w:rsidRDefault="00BD4D02" w:rsidP="00BD4D02">
            <w:pPr>
              <w:rPr>
                <w:sz w:val="20"/>
                <w:szCs w:val="20"/>
              </w:rPr>
            </w:pPr>
          </w:p>
        </w:tc>
        <w:tc>
          <w:tcPr>
            <w:tcW w:w="1180" w:type="dxa"/>
            <w:shd w:val="clear" w:color="auto" w:fill="auto"/>
            <w:noWrap/>
            <w:vAlign w:val="bottom"/>
            <w:hideMark/>
          </w:tcPr>
          <w:p w14:paraId="7D7C805E"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r>
      <w:tr w:rsidR="00BD4D02" w:rsidRPr="00BD4D02" w14:paraId="6F04874D" w14:textId="77777777" w:rsidTr="00050580">
        <w:trPr>
          <w:trHeight w:val="144"/>
        </w:trPr>
        <w:tc>
          <w:tcPr>
            <w:tcW w:w="4500" w:type="dxa"/>
            <w:shd w:val="clear" w:color="auto" w:fill="auto"/>
            <w:noWrap/>
            <w:vAlign w:val="bottom"/>
            <w:hideMark/>
          </w:tcPr>
          <w:p w14:paraId="6C083A56"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Wireless - HSPA+</w:t>
            </w:r>
          </w:p>
        </w:tc>
        <w:tc>
          <w:tcPr>
            <w:tcW w:w="770" w:type="dxa"/>
            <w:shd w:val="clear" w:color="auto" w:fill="auto"/>
            <w:noWrap/>
            <w:vAlign w:val="bottom"/>
            <w:hideMark/>
          </w:tcPr>
          <w:p w14:paraId="12B2D41B"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717FC1C8" w14:textId="77777777" w:rsidR="00BD4D02" w:rsidRPr="00BD4D02" w:rsidRDefault="00BD4D02" w:rsidP="00BD4D02">
            <w:pPr>
              <w:rPr>
                <w:sz w:val="20"/>
                <w:szCs w:val="20"/>
              </w:rPr>
            </w:pPr>
          </w:p>
        </w:tc>
        <w:tc>
          <w:tcPr>
            <w:tcW w:w="663" w:type="dxa"/>
            <w:shd w:val="clear" w:color="auto" w:fill="auto"/>
            <w:noWrap/>
            <w:vAlign w:val="bottom"/>
            <w:hideMark/>
          </w:tcPr>
          <w:p w14:paraId="4D3A1BC7" w14:textId="77777777" w:rsidR="00BD4D02" w:rsidRPr="00BD4D02" w:rsidRDefault="00BD4D02" w:rsidP="00BD4D02">
            <w:pPr>
              <w:rPr>
                <w:sz w:val="20"/>
                <w:szCs w:val="20"/>
              </w:rPr>
            </w:pPr>
          </w:p>
        </w:tc>
        <w:tc>
          <w:tcPr>
            <w:tcW w:w="663" w:type="dxa"/>
            <w:shd w:val="clear" w:color="auto" w:fill="auto"/>
            <w:noWrap/>
            <w:vAlign w:val="bottom"/>
            <w:hideMark/>
          </w:tcPr>
          <w:p w14:paraId="49488087" w14:textId="77777777" w:rsidR="00BD4D02" w:rsidRPr="00BD4D02" w:rsidRDefault="00BD4D02" w:rsidP="00BD4D02">
            <w:pPr>
              <w:rPr>
                <w:sz w:val="20"/>
                <w:szCs w:val="20"/>
              </w:rPr>
            </w:pPr>
          </w:p>
        </w:tc>
        <w:tc>
          <w:tcPr>
            <w:tcW w:w="663" w:type="dxa"/>
            <w:shd w:val="clear" w:color="auto" w:fill="auto"/>
            <w:noWrap/>
            <w:vAlign w:val="bottom"/>
            <w:hideMark/>
          </w:tcPr>
          <w:p w14:paraId="7D778FB5"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6ED11CB2"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6746C1F0" w14:textId="77777777" w:rsidR="00BD4D02" w:rsidRPr="00BD4D02" w:rsidRDefault="00BD4D02" w:rsidP="00BD4D02">
            <w:pPr>
              <w:rPr>
                <w:sz w:val="20"/>
                <w:szCs w:val="20"/>
              </w:rPr>
            </w:pPr>
          </w:p>
        </w:tc>
        <w:tc>
          <w:tcPr>
            <w:tcW w:w="663" w:type="dxa"/>
            <w:shd w:val="clear" w:color="auto" w:fill="auto"/>
            <w:noWrap/>
            <w:vAlign w:val="bottom"/>
            <w:hideMark/>
          </w:tcPr>
          <w:p w14:paraId="208AF5F9" w14:textId="77777777" w:rsidR="00BD4D02" w:rsidRPr="00BD4D02" w:rsidRDefault="00BD4D02" w:rsidP="00BD4D02">
            <w:pPr>
              <w:rPr>
                <w:sz w:val="20"/>
                <w:szCs w:val="20"/>
              </w:rPr>
            </w:pPr>
          </w:p>
        </w:tc>
        <w:tc>
          <w:tcPr>
            <w:tcW w:w="663" w:type="dxa"/>
            <w:shd w:val="clear" w:color="auto" w:fill="auto"/>
            <w:noWrap/>
            <w:vAlign w:val="bottom"/>
            <w:hideMark/>
          </w:tcPr>
          <w:p w14:paraId="0E0B0682" w14:textId="77777777" w:rsidR="00BD4D02" w:rsidRPr="00BD4D02" w:rsidRDefault="00BD4D02" w:rsidP="00BD4D02">
            <w:pPr>
              <w:rPr>
                <w:sz w:val="20"/>
                <w:szCs w:val="20"/>
              </w:rPr>
            </w:pPr>
          </w:p>
        </w:tc>
        <w:tc>
          <w:tcPr>
            <w:tcW w:w="663" w:type="dxa"/>
            <w:shd w:val="clear" w:color="auto" w:fill="auto"/>
            <w:noWrap/>
            <w:vAlign w:val="bottom"/>
            <w:hideMark/>
          </w:tcPr>
          <w:p w14:paraId="580573C7" w14:textId="77777777" w:rsidR="00BD4D02" w:rsidRPr="00BD4D02" w:rsidRDefault="00BD4D02" w:rsidP="00BD4D02">
            <w:pPr>
              <w:rPr>
                <w:sz w:val="20"/>
                <w:szCs w:val="20"/>
              </w:rPr>
            </w:pPr>
          </w:p>
        </w:tc>
        <w:tc>
          <w:tcPr>
            <w:tcW w:w="663" w:type="dxa"/>
            <w:shd w:val="clear" w:color="auto" w:fill="auto"/>
            <w:noWrap/>
            <w:vAlign w:val="bottom"/>
            <w:hideMark/>
          </w:tcPr>
          <w:p w14:paraId="64378F3A" w14:textId="77777777" w:rsidR="00BD4D02" w:rsidRPr="00BD4D02" w:rsidRDefault="00BD4D02" w:rsidP="00BD4D02">
            <w:pPr>
              <w:rPr>
                <w:sz w:val="20"/>
                <w:szCs w:val="20"/>
              </w:rPr>
            </w:pPr>
          </w:p>
        </w:tc>
        <w:tc>
          <w:tcPr>
            <w:tcW w:w="663" w:type="dxa"/>
            <w:shd w:val="clear" w:color="auto" w:fill="auto"/>
            <w:noWrap/>
            <w:vAlign w:val="bottom"/>
            <w:hideMark/>
          </w:tcPr>
          <w:p w14:paraId="427EA087" w14:textId="77777777" w:rsidR="00BD4D02" w:rsidRPr="00BD4D02" w:rsidRDefault="00BD4D02" w:rsidP="00BD4D02">
            <w:pPr>
              <w:rPr>
                <w:sz w:val="20"/>
                <w:szCs w:val="20"/>
              </w:rPr>
            </w:pPr>
          </w:p>
        </w:tc>
        <w:tc>
          <w:tcPr>
            <w:tcW w:w="1180" w:type="dxa"/>
            <w:shd w:val="clear" w:color="auto" w:fill="auto"/>
            <w:noWrap/>
            <w:vAlign w:val="bottom"/>
            <w:hideMark/>
          </w:tcPr>
          <w:p w14:paraId="0EE12992"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12AD468C" w14:textId="77777777" w:rsidTr="00050580">
        <w:trPr>
          <w:trHeight w:val="144"/>
        </w:trPr>
        <w:tc>
          <w:tcPr>
            <w:tcW w:w="4500" w:type="dxa"/>
            <w:shd w:val="clear" w:color="auto" w:fill="auto"/>
            <w:noWrap/>
            <w:vAlign w:val="bottom"/>
            <w:hideMark/>
          </w:tcPr>
          <w:p w14:paraId="1BC776D5"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WSPs</w:t>
            </w:r>
          </w:p>
        </w:tc>
        <w:tc>
          <w:tcPr>
            <w:tcW w:w="770" w:type="dxa"/>
            <w:shd w:val="clear" w:color="auto" w:fill="auto"/>
            <w:noWrap/>
            <w:vAlign w:val="bottom"/>
            <w:hideMark/>
          </w:tcPr>
          <w:p w14:paraId="4E26858C"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36DE203B" w14:textId="77777777" w:rsidR="00BD4D02" w:rsidRPr="00BD4D02" w:rsidRDefault="00BD4D02" w:rsidP="00BD4D02">
            <w:pPr>
              <w:rPr>
                <w:sz w:val="20"/>
                <w:szCs w:val="20"/>
              </w:rPr>
            </w:pPr>
          </w:p>
        </w:tc>
        <w:tc>
          <w:tcPr>
            <w:tcW w:w="663" w:type="dxa"/>
            <w:shd w:val="clear" w:color="auto" w:fill="auto"/>
            <w:noWrap/>
            <w:vAlign w:val="bottom"/>
            <w:hideMark/>
          </w:tcPr>
          <w:p w14:paraId="02873F25" w14:textId="77777777" w:rsidR="00BD4D02" w:rsidRPr="00BD4D02" w:rsidRDefault="00BD4D02" w:rsidP="00BD4D02">
            <w:pPr>
              <w:rPr>
                <w:sz w:val="20"/>
                <w:szCs w:val="20"/>
              </w:rPr>
            </w:pPr>
          </w:p>
        </w:tc>
        <w:tc>
          <w:tcPr>
            <w:tcW w:w="663" w:type="dxa"/>
            <w:shd w:val="clear" w:color="auto" w:fill="auto"/>
            <w:noWrap/>
            <w:vAlign w:val="bottom"/>
            <w:hideMark/>
          </w:tcPr>
          <w:p w14:paraId="198E1B67" w14:textId="77777777" w:rsidR="00BD4D02" w:rsidRPr="00BD4D02" w:rsidRDefault="00BD4D02" w:rsidP="00BD4D02">
            <w:pPr>
              <w:rPr>
                <w:sz w:val="20"/>
                <w:szCs w:val="20"/>
              </w:rPr>
            </w:pPr>
          </w:p>
        </w:tc>
        <w:tc>
          <w:tcPr>
            <w:tcW w:w="663" w:type="dxa"/>
            <w:shd w:val="clear" w:color="auto" w:fill="auto"/>
            <w:noWrap/>
            <w:vAlign w:val="bottom"/>
            <w:hideMark/>
          </w:tcPr>
          <w:p w14:paraId="7BBDF14B" w14:textId="77777777" w:rsidR="00BD4D02" w:rsidRPr="00BD4D02" w:rsidRDefault="00BD4D02" w:rsidP="00BD4D02">
            <w:pPr>
              <w:rPr>
                <w:sz w:val="20"/>
                <w:szCs w:val="20"/>
              </w:rPr>
            </w:pPr>
          </w:p>
        </w:tc>
        <w:tc>
          <w:tcPr>
            <w:tcW w:w="663" w:type="dxa"/>
            <w:shd w:val="clear" w:color="auto" w:fill="auto"/>
            <w:noWrap/>
            <w:vAlign w:val="bottom"/>
            <w:hideMark/>
          </w:tcPr>
          <w:p w14:paraId="40DEC7E7"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3DA7B3EC"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65AE37C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679DCAD7"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2B7B913E"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3E7FCA05"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4775FB21" w14:textId="77777777" w:rsidR="00BD4D02" w:rsidRPr="00BD4D02" w:rsidRDefault="00BD4D02" w:rsidP="00BD4D02">
            <w:pPr>
              <w:rPr>
                <w:sz w:val="20"/>
                <w:szCs w:val="20"/>
              </w:rPr>
            </w:pPr>
          </w:p>
        </w:tc>
        <w:tc>
          <w:tcPr>
            <w:tcW w:w="1180" w:type="dxa"/>
            <w:shd w:val="clear" w:color="auto" w:fill="auto"/>
            <w:noWrap/>
            <w:vAlign w:val="bottom"/>
            <w:hideMark/>
          </w:tcPr>
          <w:p w14:paraId="14300E9D"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5</w:t>
            </w:r>
          </w:p>
        </w:tc>
      </w:tr>
      <w:tr w:rsidR="00BD4D02" w:rsidRPr="00BD4D02" w14:paraId="01AD3C5C" w14:textId="77777777" w:rsidTr="00050580">
        <w:trPr>
          <w:trHeight w:val="144"/>
        </w:trPr>
        <w:tc>
          <w:tcPr>
            <w:tcW w:w="4500" w:type="dxa"/>
            <w:shd w:val="clear" w:color="auto" w:fill="auto"/>
            <w:noWrap/>
            <w:vAlign w:val="bottom"/>
            <w:hideMark/>
          </w:tcPr>
          <w:p w14:paraId="1C783477" w14:textId="77777777" w:rsidR="00BD4D02" w:rsidRPr="00BD4D02" w:rsidRDefault="00BD4D02" w:rsidP="00BD4D02">
            <w:pPr>
              <w:ind w:firstLineChars="100" w:firstLine="201"/>
              <w:rPr>
                <w:rFonts w:ascii="Calibri" w:hAnsi="Calibri" w:cs="Calibri"/>
                <w:b/>
                <w:bCs/>
                <w:color w:val="000000"/>
                <w:sz w:val="20"/>
                <w:szCs w:val="20"/>
              </w:rPr>
            </w:pPr>
            <w:r w:rsidRPr="00BD4D02">
              <w:rPr>
                <w:rFonts w:ascii="Calibri" w:hAnsi="Calibri" w:cs="Calibri"/>
                <w:b/>
                <w:bCs/>
                <w:color w:val="000000"/>
                <w:sz w:val="20"/>
                <w:szCs w:val="20"/>
              </w:rPr>
              <w:t>Technology - use</w:t>
            </w:r>
          </w:p>
        </w:tc>
        <w:tc>
          <w:tcPr>
            <w:tcW w:w="770" w:type="dxa"/>
            <w:shd w:val="clear" w:color="auto" w:fill="auto"/>
            <w:noWrap/>
            <w:vAlign w:val="bottom"/>
            <w:hideMark/>
          </w:tcPr>
          <w:p w14:paraId="4A817745"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6</w:t>
            </w:r>
          </w:p>
        </w:tc>
        <w:tc>
          <w:tcPr>
            <w:tcW w:w="663" w:type="dxa"/>
            <w:shd w:val="clear" w:color="auto" w:fill="auto"/>
            <w:noWrap/>
            <w:vAlign w:val="bottom"/>
            <w:hideMark/>
          </w:tcPr>
          <w:p w14:paraId="63C97B30"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5</w:t>
            </w:r>
          </w:p>
        </w:tc>
        <w:tc>
          <w:tcPr>
            <w:tcW w:w="663" w:type="dxa"/>
            <w:shd w:val="clear" w:color="auto" w:fill="auto"/>
            <w:noWrap/>
            <w:vAlign w:val="bottom"/>
            <w:hideMark/>
          </w:tcPr>
          <w:p w14:paraId="4387DA92"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8</w:t>
            </w:r>
          </w:p>
        </w:tc>
        <w:tc>
          <w:tcPr>
            <w:tcW w:w="663" w:type="dxa"/>
            <w:shd w:val="clear" w:color="auto" w:fill="auto"/>
            <w:noWrap/>
            <w:vAlign w:val="bottom"/>
            <w:hideMark/>
          </w:tcPr>
          <w:p w14:paraId="4DD8EFBA"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11</w:t>
            </w:r>
          </w:p>
        </w:tc>
        <w:tc>
          <w:tcPr>
            <w:tcW w:w="663" w:type="dxa"/>
            <w:shd w:val="clear" w:color="auto" w:fill="auto"/>
            <w:noWrap/>
            <w:vAlign w:val="bottom"/>
            <w:hideMark/>
          </w:tcPr>
          <w:p w14:paraId="16718080"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13</w:t>
            </w:r>
          </w:p>
        </w:tc>
        <w:tc>
          <w:tcPr>
            <w:tcW w:w="663" w:type="dxa"/>
            <w:shd w:val="clear" w:color="auto" w:fill="auto"/>
            <w:noWrap/>
            <w:vAlign w:val="bottom"/>
            <w:hideMark/>
          </w:tcPr>
          <w:p w14:paraId="1B5B5E62"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34</w:t>
            </w:r>
          </w:p>
        </w:tc>
        <w:tc>
          <w:tcPr>
            <w:tcW w:w="663" w:type="dxa"/>
            <w:shd w:val="clear" w:color="auto" w:fill="auto"/>
            <w:noWrap/>
            <w:vAlign w:val="bottom"/>
            <w:hideMark/>
          </w:tcPr>
          <w:p w14:paraId="1B408BB4"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28</w:t>
            </w:r>
          </w:p>
        </w:tc>
        <w:tc>
          <w:tcPr>
            <w:tcW w:w="663" w:type="dxa"/>
            <w:shd w:val="clear" w:color="auto" w:fill="auto"/>
            <w:noWrap/>
            <w:vAlign w:val="bottom"/>
            <w:hideMark/>
          </w:tcPr>
          <w:p w14:paraId="163C316A"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34</w:t>
            </w:r>
          </w:p>
        </w:tc>
        <w:tc>
          <w:tcPr>
            <w:tcW w:w="663" w:type="dxa"/>
            <w:shd w:val="clear" w:color="auto" w:fill="auto"/>
            <w:noWrap/>
            <w:vAlign w:val="bottom"/>
            <w:hideMark/>
          </w:tcPr>
          <w:p w14:paraId="1E406BC1"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36</w:t>
            </w:r>
          </w:p>
        </w:tc>
        <w:tc>
          <w:tcPr>
            <w:tcW w:w="663" w:type="dxa"/>
            <w:shd w:val="clear" w:color="auto" w:fill="auto"/>
            <w:noWrap/>
            <w:vAlign w:val="bottom"/>
            <w:hideMark/>
          </w:tcPr>
          <w:p w14:paraId="28728017"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46</w:t>
            </w:r>
          </w:p>
        </w:tc>
        <w:tc>
          <w:tcPr>
            <w:tcW w:w="663" w:type="dxa"/>
            <w:shd w:val="clear" w:color="auto" w:fill="auto"/>
            <w:noWrap/>
            <w:vAlign w:val="bottom"/>
            <w:hideMark/>
          </w:tcPr>
          <w:p w14:paraId="4BA8B5F1"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34</w:t>
            </w:r>
          </w:p>
        </w:tc>
        <w:tc>
          <w:tcPr>
            <w:tcW w:w="663" w:type="dxa"/>
            <w:shd w:val="clear" w:color="auto" w:fill="auto"/>
            <w:noWrap/>
            <w:vAlign w:val="bottom"/>
            <w:hideMark/>
          </w:tcPr>
          <w:p w14:paraId="2258B23F"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41</w:t>
            </w:r>
          </w:p>
        </w:tc>
        <w:tc>
          <w:tcPr>
            <w:tcW w:w="1180" w:type="dxa"/>
            <w:shd w:val="clear" w:color="auto" w:fill="auto"/>
            <w:noWrap/>
            <w:vAlign w:val="bottom"/>
            <w:hideMark/>
          </w:tcPr>
          <w:p w14:paraId="3FBAF09B"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296</w:t>
            </w:r>
          </w:p>
        </w:tc>
      </w:tr>
      <w:tr w:rsidR="00BD4D02" w:rsidRPr="00BD4D02" w14:paraId="0A8DE15C" w14:textId="77777777" w:rsidTr="00050580">
        <w:trPr>
          <w:trHeight w:val="144"/>
        </w:trPr>
        <w:tc>
          <w:tcPr>
            <w:tcW w:w="4500" w:type="dxa"/>
            <w:shd w:val="clear" w:color="auto" w:fill="auto"/>
            <w:noWrap/>
            <w:vAlign w:val="bottom"/>
            <w:hideMark/>
          </w:tcPr>
          <w:p w14:paraId="6DF144ED"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Content - podcasts</w:t>
            </w:r>
          </w:p>
        </w:tc>
        <w:tc>
          <w:tcPr>
            <w:tcW w:w="770" w:type="dxa"/>
            <w:shd w:val="clear" w:color="auto" w:fill="auto"/>
            <w:noWrap/>
            <w:vAlign w:val="bottom"/>
            <w:hideMark/>
          </w:tcPr>
          <w:p w14:paraId="5BEE1815"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581EC242" w14:textId="77777777" w:rsidR="00BD4D02" w:rsidRPr="00BD4D02" w:rsidRDefault="00BD4D02" w:rsidP="00BD4D02">
            <w:pPr>
              <w:rPr>
                <w:sz w:val="20"/>
                <w:szCs w:val="20"/>
              </w:rPr>
            </w:pPr>
          </w:p>
        </w:tc>
        <w:tc>
          <w:tcPr>
            <w:tcW w:w="663" w:type="dxa"/>
            <w:shd w:val="clear" w:color="auto" w:fill="auto"/>
            <w:noWrap/>
            <w:vAlign w:val="bottom"/>
            <w:hideMark/>
          </w:tcPr>
          <w:p w14:paraId="2F0F35A5" w14:textId="77777777" w:rsidR="00BD4D02" w:rsidRPr="00BD4D02" w:rsidRDefault="00BD4D02" w:rsidP="00BD4D02">
            <w:pPr>
              <w:rPr>
                <w:sz w:val="20"/>
                <w:szCs w:val="20"/>
              </w:rPr>
            </w:pPr>
          </w:p>
        </w:tc>
        <w:tc>
          <w:tcPr>
            <w:tcW w:w="663" w:type="dxa"/>
            <w:shd w:val="clear" w:color="auto" w:fill="auto"/>
            <w:noWrap/>
            <w:vAlign w:val="bottom"/>
            <w:hideMark/>
          </w:tcPr>
          <w:p w14:paraId="7589C258" w14:textId="77777777" w:rsidR="00BD4D02" w:rsidRPr="00BD4D02" w:rsidRDefault="00BD4D02" w:rsidP="00BD4D02">
            <w:pPr>
              <w:rPr>
                <w:sz w:val="20"/>
                <w:szCs w:val="20"/>
              </w:rPr>
            </w:pPr>
          </w:p>
        </w:tc>
        <w:tc>
          <w:tcPr>
            <w:tcW w:w="663" w:type="dxa"/>
            <w:shd w:val="clear" w:color="auto" w:fill="auto"/>
            <w:noWrap/>
            <w:vAlign w:val="bottom"/>
            <w:hideMark/>
          </w:tcPr>
          <w:p w14:paraId="40F1AE24" w14:textId="77777777" w:rsidR="00BD4D02" w:rsidRPr="00BD4D02" w:rsidRDefault="00BD4D02" w:rsidP="00BD4D02">
            <w:pPr>
              <w:rPr>
                <w:sz w:val="20"/>
                <w:szCs w:val="20"/>
              </w:rPr>
            </w:pPr>
          </w:p>
        </w:tc>
        <w:tc>
          <w:tcPr>
            <w:tcW w:w="663" w:type="dxa"/>
            <w:shd w:val="clear" w:color="auto" w:fill="auto"/>
            <w:noWrap/>
            <w:vAlign w:val="bottom"/>
            <w:hideMark/>
          </w:tcPr>
          <w:p w14:paraId="12B284CE"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659D91A0"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68E88934" w14:textId="77777777" w:rsidR="00BD4D02" w:rsidRPr="00BD4D02" w:rsidRDefault="00BD4D02" w:rsidP="00BD4D02">
            <w:pPr>
              <w:rPr>
                <w:sz w:val="20"/>
                <w:szCs w:val="20"/>
              </w:rPr>
            </w:pPr>
          </w:p>
        </w:tc>
        <w:tc>
          <w:tcPr>
            <w:tcW w:w="663" w:type="dxa"/>
            <w:shd w:val="clear" w:color="auto" w:fill="auto"/>
            <w:noWrap/>
            <w:vAlign w:val="bottom"/>
            <w:hideMark/>
          </w:tcPr>
          <w:p w14:paraId="3BE4872D" w14:textId="77777777" w:rsidR="00BD4D02" w:rsidRPr="00BD4D02" w:rsidRDefault="00BD4D02" w:rsidP="00BD4D02">
            <w:pPr>
              <w:rPr>
                <w:sz w:val="20"/>
                <w:szCs w:val="20"/>
              </w:rPr>
            </w:pPr>
          </w:p>
        </w:tc>
        <w:tc>
          <w:tcPr>
            <w:tcW w:w="663" w:type="dxa"/>
            <w:shd w:val="clear" w:color="auto" w:fill="auto"/>
            <w:noWrap/>
            <w:vAlign w:val="bottom"/>
            <w:hideMark/>
          </w:tcPr>
          <w:p w14:paraId="4922A9C8" w14:textId="77777777" w:rsidR="00BD4D02" w:rsidRPr="00BD4D02" w:rsidRDefault="00BD4D02" w:rsidP="00BD4D02">
            <w:pPr>
              <w:rPr>
                <w:sz w:val="20"/>
                <w:szCs w:val="20"/>
              </w:rPr>
            </w:pPr>
          </w:p>
        </w:tc>
        <w:tc>
          <w:tcPr>
            <w:tcW w:w="663" w:type="dxa"/>
            <w:shd w:val="clear" w:color="auto" w:fill="auto"/>
            <w:noWrap/>
            <w:vAlign w:val="bottom"/>
            <w:hideMark/>
          </w:tcPr>
          <w:p w14:paraId="51D82EBA" w14:textId="77777777" w:rsidR="00BD4D02" w:rsidRPr="00BD4D02" w:rsidRDefault="00BD4D02" w:rsidP="00BD4D02">
            <w:pPr>
              <w:rPr>
                <w:sz w:val="20"/>
                <w:szCs w:val="20"/>
              </w:rPr>
            </w:pPr>
          </w:p>
        </w:tc>
        <w:tc>
          <w:tcPr>
            <w:tcW w:w="663" w:type="dxa"/>
            <w:shd w:val="clear" w:color="auto" w:fill="auto"/>
            <w:noWrap/>
            <w:vAlign w:val="bottom"/>
            <w:hideMark/>
          </w:tcPr>
          <w:p w14:paraId="6D8583F0"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1180" w:type="dxa"/>
            <w:shd w:val="clear" w:color="auto" w:fill="auto"/>
            <w:noWrap/>
            <w:vAlign w:val="bottom"/>
            <w:hideMark/>
          </w:tcPr>
          <w:p w14:paraId="36237D62"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r>
      <w:tr w:rsidR="00BD4D02" w:rsidRPr="00BD4D02" w14:paraId="0F189152" w14:textId="77777777" w:rsidTr="00050580">
        <w:trPr>
          <w:trHeight w:val="144"/>
        </w:trPr>
        <w:tc>
          <w:tcPr>
            <w:tcW w:w="4500" w:type="dxa"/>
            <w:shd w:val="clear" w:color="auto" w:fill="auto"/>
            <w:noWrap/>
            <w:vAlign w:val="bottom"/>
            <w:hideMark/>
          </w:tcPr>
          <w:p w14:paraId="000B4837"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Data - usage</w:t>
            </w:r>
          </w:p>
        </w:tc>
        <w:tc>
          <w:tcPr>
            <w:tcW w:w="770" w:type="dxa"/>
            <w:shd w:val="clear" w:color="auto" w:fill="auto"/>
            <w:noWrap/>
            <w:vAlign w:val="bottom"/>
            <w:hideMark/>
          </w:tcPr>
          <w:p w14:paraId="4BDE0586"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1F86D195" w14:textId="77777777" w:rsidR="00BD4D02" w:rsidRPr="00BD4D02" w:rsidRDefault="00BD4D02" w:rsidP="00BD4D02">
            <w:pPr>
              <w:rPr>
                <w:sz w:val="20"/>
                <w:szCs w:val="20"/>
              </w:rPr>
            </w:pPr>
          </w:p>
        </w:tc>
        <w:tc>
          <w:tcPr>
            <w:tcW w:w="663" w:type="dxa"/>
            <w:shd w:val="clear" w:color="auto" w:fill="auto"/>
            <w:noWrap/>
            <w:vAlign w:val="bottom"/>
            <w:hideMark/>
          </w:tcPr>
          <w:p w14:paraId="1222F176" w14:textId="77777777" w:rsidR="00BD4D02" w:rsidRPr="00BD4D02" w:rsidRDefault="00BD4D02" w:rsidP="00BD4D02">
            <w:pPr>
              <w:rPr>
                <w:sz w:val="20"/>
                <w:szCs w:val="20"/>
              </w:rPr>
            </w:pPr>
          </w:p>
        </w:tc>
        <w:tc>
          <w:tcPr>
            <w:tcW w:w="663" w:type="dxa"/>
            <w:shd w:val="clear" w:color="auto" w:fill="auto"/>
            <w:noWrap/>
            <w:vAlign w:val="bottom"/>
            <w:hideMark/>
          </w:tcPr>
          <w:p w14:paraId="6195F569" w14:textId="77777777" w:rsidR="00BD4D02" w:rsidRPr="00BD4D02" w:rsidRDefault="00BD4D02" w:rsidP="00BD4D02">
            <w:pPr>
              <w:rPr>
                <w:sz w:val="20"/>
                <w:szCs w:val="20"/>
              </w:rPr>
            </w:pPr>
          </w:p>
        </w:tc>
        <w:tc>
          <w:tcPr>
            <w:tcW w:w="663" w:type="dxa"/>
            <w:shd w:val="clear" w:color="auto" w:fill="auto"/>
            <w:noWrap/>
            <w:vAlign w:val="bottom"/>
            <w:hideMark/>
          </w:tcPr>
          <w:p w14:paraId="50F4AA2A" w14:textId="77777777" w:rsidR="00BD4D02" w:rsidRPr="00BD4D02" w:rsidRDefault="00BD4D02" w:rsidP="00BD4D02">
            <w:pPr>
              <w:rPr>
                <w:sz w:val="20"/>
                <w:szCs w:val="20"/>
              </w:rPr>
            </w:pPr>
          </w:p>
        </w:tc>
        <w:tc>
          <w:tcPr>
            <w:tcW w:w="663" w:type="dxa"/>
            <w:shd w:val="clear" w:color="auto" w:fill="auto"/>
            <w:noWrap/>
            <w:vAlign w:val="bottom"/>
            <w:hideMark/>
          </w:tcPr>
          <w:p w14:paraId="5530F21C"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51C508BE"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0EED426F"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w:t>
            </w:r>
          </w:p>
        </w:tc>
        <w:tc>
          <w:tcPr>
            <w:tcW w:w="663" w:type="dxa"/>
            <w:shd w:val="clear" w:color="auto" w:fill="auto"/>
            <w:noWrap/>
            <w:vAlign w:val="bottom"/>
            <w:hideMark/>
          </w:tcPr>
          <w:p w14:paraId="3F1A54E5"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w:t>
            </w:r>
          </w:p>
        </w:tc>
        <w:tc>
          <w:tcPr>
            <w:tcW w:w="663" w:type="dxa"/>
            <w:shd w:val="clear" w:color="auto" w:fill="auto"/>
            <w:noWrap/>
            <w:vAlign w:val="bottom"/>
            <w:hideMark/>
          </w:tcPr>
          <w:p w14:paraId="7037B459"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7</w:t>
            </w:r>
          </w:p>
        </w:tc>
        <w:tc>
          <w:tcPr>
            <w:tcW w:w="663" w:type="dxa"/>
            <w:shd w:val="clear" w:color="auto" w:fill="auto"/>
            <w:noWrap/>
            <w:vAlign w:val="bottom"/>
            <w:hideMark/>
          </w:tcPr>
          <w:p w14:paraId="240EAE66"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4</w:t>
            </w:r>
          </w:p>
        </w:tc>
        <w:tc>
          <w:tcPr>
            <w:tcW w:w="663" w:type="dxa"/>
            <w:shd w:val="clear" w:color="auto" w:fill="auto"/>
            <w:noWrap/>
            <w:vAlign w:val="bottom"/>
            <w:hideMark/>
          </w:tcPr>
          <w:p w14:paraId="62454077"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6</w:t>
            </w:r>
          </w:p>
        </w:tc>
        <w:tc>
          <w:tcPr>
            <w:tcW w:w="1180" w:type="dxa"/>
            <w:shd w:val="clear" w:color="auto" w:fill="auto"/>
            <w:noWrap/>
            <w:vAlign w:val="bottom"/>
            <w:hideMark/>
          </w:tcPr>
          <w:p w14:paraId="15C70507"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26</w:t>
            </w:r>
          </w:p>
        </w:tc>
      </w:tr>
      <w:tr w:rsidR="00BD4D02" w:rsidRPr="00BD4D02" w14:paraId="5CDCAE08" w14:textId="77777777" w:rsidTr="00050580">
        <w:trPr>
          <w:trHeight w:val="144"/>
        </w:trPr>
        <w:tc>
          <w:tcPr>
            <w:tcW w:w="4500" w:type="dxa"/>
            <w:shd w:val="clear" w:color="auto" w:fill="auto"/>
            <w:noWrap/>
            <w:vAlign w:val="bottom"/>
            <w:hideMark/>
          </w:tcPr>
          <w:p w14:paraId="3C8BBDF9"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Data traffic - roaming</w:t>
            </w:r>
          </w:p>
        </w:tc>
        <w:tc>
          <w:tcPr>
            <w:tcW w:w="770" w:type="dxa"/>
            <w:shd w:val="clear" w:color="auto" w:fill="auto"/>
            <w:noWrap/>
            <w:vAlign w:val="bottom"/>
            <w:hideMark/>
          </w:tcPr>
          <w:p w14:paraId="5803C25C"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23443983" w14:textId="77777777" w:rsidR="00BD4D02" w:rsidRPr="00BD4D02" w:rsidRDefault="00BD4D02" w:rsidP="00BD4D02">
            <w:pPr>
              <w:rPr>
                <w:sz w:val="20"/>
                <w:szCs w:val="20"/>
              </w:rPr>
            </w:pPr>
          </w:p>
        </w:tc>
        <w:tc>
          <w:tcPr>
            <w:tcW w:w="663" w:type="dxa"/>
            <w:shd w:val="clear" w:color="auto" w:fill="auto"/>
            <w:noWrap/>
            <w:vAlign w:val="bottom"/>
            <w:hideMark/>
          </w:tcPr>
          <w:p w14:paraId="0B5F1442" w14:textId="77777777" w:rsidR="00BD4D02" w:rsidRPr="00BD4D02" w:rsidRDefault="00BD4D02" w:rsidP="00BD4D02">
            <w:pPr>
              <w:rPr>
                <w:sz w:val="20"/>
                <w:szCs w:val="20"/>
              </w:rPr>
            </w:pPr>
          </w:p>
        </w:tc>
        <w:tc>
          <w:tcPr>
            <w:tcW w:w="663" w:type="dxa"/>
            <w:shd w:val="clear" w:color="auto" w:fill="auto"/>
            <w:noWrap/>
            <w:vAlign w:val="bottom"/>
            <w:hideMark/>
          </w:tcPr>
          <w:p w14:paraId="5998EE42" w14:textId="77777777" w:rsidR="00BD4D02" w:rsidRPr="00BD4D02" w:rsidRDefault="00BD4D02" w:rsidP="00BD4D02">
            <w:pPr>
              <w:rPr>
                <w:sz w:val="20"/>
                <w:szCs w:val="20"/>
              </w:rPr>
            </w:pPr>
          </w:p>
        </w:tc>
        <w:tc>
          <w:tcPr>
            <w:tcW w:w="663" w:type="dxa"/>
            <w:shd w:val="clear" w:color="auto" w:fill="auto"/>
            <w:noWrap/>
            <w:vAlign w:val="bottom"/>
            <w:hideMark/>
          </w:tcPr>
          <w:p w14:paraId="5AF9425A" w14:textId="77777777" w:rsidR="00BD4D02" w:rsidRPr="00BD4D02" w:rsidRDefault="00BD4D02" w:rsidP="00BD4D02">
            <w:pPr>
              <w:rPr>
                <w:sz w:val="20"/>
                <w:szCs w:val="20"/>
              </w:rPr>
            </w:pPr>
          </w:p>
        </w:tc>
        <w:tc>
          <w:tcPr>
            <w:tcW w:w="663" w:type="dxa"/>
            <w:shd w:val="clear" w:color="auto" w:fill="auto"/>
            <w:noWrap/>
            <w:vAlign w:val="bottom"/>
            <w:hideMark/>
          </w:tcPr>
          <w:p w14:paraId="27735183" w14:textId="77777777" w:rsidR="00BD4D02" w:rsidRPr="00BD4D02" w:rsidRDefault="00BD4D02" w:rsidP="00BD4D02">
            <w:pPr>
              <w:rPr>
                <w:sz w:val="20"/>
                <w:szCs w:val="20"/>
              </w:rPr>
            </w:pPr>
          </w:p>
        </w:tc>
        <w:tc>
          <w:tcPr>
            <w:tcW w:w="663" w:type="dxa"/>
            <w:shd w:val="clear" w:color="auto" w:fill="auto"/>
            <w:noWrap/>
            <w:vAlign w:val="bottom"/>
            <w:hideMark/>
          </w:tcPr>
          <w:p w14:paraId="0E0AC7C3"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4E9E4E05"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2A23E8EA"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3EAB1D58"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4591859F"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7ABFF7A1" w14:textId="77777777" w:rsidR="00BD4D02" w:rsidRPr="00BD4D02" w:rsidRDefault="00BD4D02" w:rsidP="00BD4D02">
            <w:pPr>
              <w:jc w:val="right"/>
              <w:rPr>
                <w:rFonts w:ascii="Calibri" w:hAnsi="Calibri" w:cs="Calibri"/>
                <w:color w:val="000000"/>
                <w:sz w:val="20"/>
                <w:szCs w:val="20"/>
              </w:rPr>
            </w:pPr>
          </w:p>
        </w:tc>
        <w:tc>
          <w:tcPr>
            <w:tcW w:w="1180" w:type="dxa"/>
            <w:shd w:val="clear" w:color="auto" w:fill="auto"/>
            <w:noWrap/>
            <w:vAlign w:val="bottom"/>
            <w:hideMark/>
          </w:tcPr>
          <w:p w14:paraId="318BD7A5"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6</w:t>
            </w:r>
          </w:p>
        </w:tc>
      </w:tr>
      <w:tr w:rsidR="00BD4D02" w:rsidRPr="00BD4D02" w14:paraId="77C664BE" w14:textId="77777777" w:rsidTr="00050580">
        <w:trPr>
          <w:trHeight w:val="144"/>
        </w:trPr>
        <w:tc>
          <w:tcPr>
            <w:tcW w:w="4500" w:type="dxa"/>
            <w:shd w:val="clear" w:color="auto" w:fill="auto"/>
            <w:noWrap/>
            <w:vAlign w:val="bottom"/>
            <w:hideMark/>
          </w:tcPr>
          <w:p w14:paraId="190D41A0"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Devices - cellphones, landlines</w:t>
            </w:r>
          </w:p>
        </w:tc>
        <w:tc>
          <w:tcPr>
            <w:tcW w:w="770" w:type="dxa"/>
            <w:shd w:val="clear" w:color="auto" w:fill="auto"/>
            <w:noWrap/>
            <w:vAlign w:val="bottom"/>
            <w:hideMark/>
          </w:tcPr>
          <w:p w14:paraId="2C9B4D00"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5CE5C37A" w14:textId="77777777" w:rsidR="00BD4D02" w:rsidRPr="00BD4D02" w:rsidRDefault="00BD4D02" w:rsidP="00BD4D02">
            <w:pPr>
              <w:rPr>
                <w:sz w:val="20"/>
                <w:szCs w:val="20"/>
              </w:rPr>
            </w:pPr>
          </w:p>
        </w:tc>
        <w:tc>
          <w:tcPr>
            <w:tcW w:w="663" w:type="dxa"/>
            <w:shd w:val="clear" w:color="auto" w:fill="auto"/>
            <w:noWrap/>
            <w:vAlign w:val="bottom"/>
            <w:hideMark/>
          </w:tcPr>
          <w:p w14:paraId="75890E49" w14:textId="77777777" w:rsidR="00BD4D02" w:rsidRPr="00BD4D02" w:rsidRDefault="00BD4D02" w:rsidP="00BD4D02">
            <w:pPr>
              <w:rPr>
                <w:sz w:val="20"/>
                <w:szCs w:val="20"/>
              </w:rPr>
            </w:pPr>
          </w:p>
        </w:tc>
        <w:tc>
          <w:tcPr>
            <w:tcW w:w="663" w:type="dxa"/>
            <w:shd w:val="clear" w:color="auto" w:fill="auto"/>
            <w:noWrap/>
            <w:vAlign w:val="bottom"/>
            <w:hideMark/>
          </w:tcPr>
          <w:p w14:paraId="25F60719" w14:textId="77777777" w:rsidR="00BD4D02" w:rsidRPr="00BD4D02" w:rsidRDefault="00BD4D02" w:rsidP="00BD4D02">
            <w:pPr>
              <w:rPr>
                <w:sz w:val="20"/>
                <w:szCs w:val="20"/>
              </w:rPr>
            </w:pPr>
          </w:p>
        </w:tc>
        <w:tc>
          <w:tcPr>
            <w:tcW w:w="663" w:type="dxa"/>
            <w:shd w:val="clear" w:color="auto" w:fill="auto"/>
            <w:noWrap/>
            <w:vAlign w:val="bottom"/>
            <w:hideMark/>
          </w:tcPr>
          <w:p w14:paraId="6A7B183B" w14:textId="77777777" w:rsidR="00BD4D02" w:rsidRPr="00BD4D02" w:rsidRDefault="00BD4D02" w:rsidP="00BD4D02">
            <w:pPr>
              <w:rPr>
                <w:sz w:val="20"/>
                <w:szCs w:val="20"/>
              </w:rPr>
            </w:pPr>
          </w:p>
        </w:tc>
        <w:tc>
          <w:tcPr>
            <w:tcW w:w="663" w:type="dxa"/>
            <w:shd w:val="clear" w:color="auto" w:fill="auto"/>
            <w:noWrap/>
            <w:vAlign w:val="bottom"/>
            <w:hideMark/>
          </w:tcPr>
          <w:p w14:paraId="0F5D7A96" w14:textId="77777777" w:rsidR="00BD4D02" w:rsidRPr="00BD4D02" w:rsidRDefault="00BD4D02" w:rsidP="00BD4D02">
            <w:pPr>
              <w:rPr>
                <w:sz w:val="20"/>
                <w:szCs w:val="20"/>
              </w:rPr>
            </w:pPr>
          </w:p>
        </w:tc>
        <w:tc>
          <w:tcPr>
            <w:tcW w:w="663" w:type="dxa"/>
            <w:shd w:val="clear" w:color="auto" w:fill="auto"/>
            <w:noWrap/>
            <w:vAlign w:val="bottom"/>
            <w:hideMark/>
          </w:tcPr>
          <w:p w14:paraId="1034763B" w14:textId="77777777" w:rsidR="00BD4D02" w:rsidRPr="00BD4D02" w:rsidRDefault="00BD4D02" w:rsidP="00BD4D02">
            <w:pPr>
              <w:rPr>
                <w:sz w:val="20"/>
                <w:szCs w:val="20"/>
              </w:rPr>
            </w:pPr>
          </w:p>
        </w:tc>
        <w:tc>
          <w:tcPr>
            <w:tcW w:w="663" w:type="dxa"/>
            <w:shd w:val="clear" w:color="auto" w:fill="auto"/>
            <w:noWrap/>
            <w:vAlign w:val="bottom"/>
            <w:hideMark/>
          </w:tcPr>
          <w:p w14:paraId="47A86F94" w14:textId="77777777" w:rsidR="00BD4D02" w:rsidRPr="00BD4D02" w:rsidRDefault="00BD4D02" w:rsidP="00BD4D02">
            <w:pPr>
              <w:rPr>
                <w:sz w:val="20"/>
                <w:szCs w:val="20"/>
              </w:rPr>
            </w:pPr>
          </w:p>
        </w:tc>
        <w:tc>
          <w:tcPr>
            <w:tcW w:w="663" w:type="dxa"/>
            <w:shd w:val="clear" w:color="auto" w:fill="auto"/>
            <w:noWrap/>
            <w:vAlign w:val="bottom"/>
            <w:hideMark/>
          </w:tcPr>
          <w:p w14:paraId="23CD58CF"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17D4C116"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58003232"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1A9293C4" w14:textId="77777777" w:rsidR="00BD4D02" w:rsidRPr="00BD4D02" w:rsidRDefault="00BD4D02" w:rsidP="00BD4D02">
            <w:pPr>
              <w:rPr>
                <w:sz w:val="20"/>
                <w:szCs w:val="20"/>
              </w:rPr>
            </w:pPr>
          </w:p>
        </w:tc>
        <w:tc>
          <w:tcPr>
            <w:tcW w:w="1180" w:type="dxa"/>
            <w:shd w:val="clear" w:color="auto" w:fill="auto"/>
            <w:noWrap/>
            <w:vAlign w:val="bottom"/>
            <w:hideMark/>
          </w:tcPr>
          <w:p w14:paraId="043B7364"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r>
      <w:tr w:rsidR="00BD4D02" w:rsidRPr="00BD4D02" w14:paraId="0447F7C9" w14:textId="77777777" w:rsidTr="00050580">
        <w:trPr>
          <w:trHeight w:val="144"/>
        </w:trPr>
        <w:tc>
          <w:tcPr>
            <w:tcW w:w="4500" w:type="dxa"/>
            <w:shd w:val="clear" w:color="auto" w:fill="auto"/>
            <w:noWrap/>
            <w:vAlign w:val="bottom"/>
            <w:hideMark/>
          </w:tcPr>
          <w:p w14:paraId="1113CDAE"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Devices - computers, Internet</w:t>
            </w:r>
          </w:p>
        </w:tc>
        <w:tc>
          <w:tcPr>
            <w:tcW w:w="770" w:type="dxa"/>
            <w:shd w:val="clear" w:color="auto" w:fill="auto"/>
            <w:noWrap/>
            <w:vAlign w:val="bottom"/>
            <w:hideMark/>
          </w:tcPr>
          <w:p w14:paraId="3FC63B0B"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32D3DCA1" w14:textId="77777777" w:rsidR="00BD4D02" w:rsidRPr="00BD4D02" w:rsidRDefault="00BD4D02" w:rsidP="00BD4D02">
            <w:pPr>
              <w:rPr>
                <w:sz w:val="20"/>
                <w:szCs w:val="20"/>
              </w:rPr>
            </w:pPr>
          </w:p>
        </w:tc>
        <w:tc>
          <w:tcPr>
            <w:tcW w:w="663" w:type="dxa"/>
            <w:shd w:val="clear" w:color="auto" w:fill="auto"/>
            <w:noWrap/>
            <w:vAlign w:val="bottom"/>
            <w:hideMark/>
          </w:tcPr>
          <w:p w14:paraId="04C3D8D8" w14:textId="77777777" w:rsidR="00BD4D02" w:rsidRPr="00BD4D02" w:rsidRDefault="00BD4D02" w:rsidP="00BD4D02">
            <w:pPr>
              <w:rPr>
                <w:sz w:val="20"/>
                <w:szCs w:val="20"/>
              </w:rPr>
            </w:pPr>
          </w:p>
        </w:tc>
        <w:tc>
          <w:tcPr>
            <w:tcW w:w="663" w:type="dxa"/>
            <w:shd w:val="clear" w:color="auto" w:fill="auto"/>
            <w:noWrap/>
            <w:vAlign w:val="bottom"/>
            <w:hideMark/>
          </w:tcPr>
          <w:p w14:paraId="68628D77" w14:textId="77777777" w:rsidR="00BD4D02" w:rsidRPr="00BD4D02" w:rsidRDefault="00BD4D02" w:rsidP="00BD4D02">
            <w:pPr>
              <w:rPr>
                <w:sz w:val="20"/>
                <w:szCs w:val="20"/>
              </w:rPr>
            </w:pPr>
          </w:p>
        </w:tc>
        <w:tc>
          <w:tcPr>
            <w:tcW w:w="663" w:type="dxa"/>
            <w:shd w:val="clear" w:color="auto" w:fill="auto"/>
            <w:noWrap/>
            <w:vAlign w:val="bottom"/>
            <w:hideMark/>
          </w:tcPr>
          <w:p w14:paraId="27D9F482" w14:textId="77777777" w:rsidR="00BD4D02" w:rsidRPr="00BD4D02" w:rsidRDefault="00BD4D02" w:rsidP="00BD4D02">
            <w:pPr>
              <w:rPr>
                <w:sz w:val="20"/>
                <w:szCs w:val="20"/>
              </w:rPr>
            </w:pPr>
          </w:p>
        </w:tc>
        <w:tc>
          <w:tcPr>
            <w:tcW w:w="663" w:type="dxa"/>
            <w:shd w:val="clear" w:color="auto" w:fill="auto"/>
            <w:noWrap/>
            <w:vAlign w:val="bottom"/>
            <w:hideMark/>
          </w:tcPr>
          <w:p w14:paraId="6F85F6BD" w14:textId="77777777" w:rsidR="00BD4D02" w:rsidRPr="00BD4D02" w:rsidRDefault="00BD4D02" w:rsidP="00BD4D02">
            <w:pPr>
              <w:rPr>
                <w:sz w:val="20"/>
                <w:szCs w:val="20"/>
              </w:rPr>
            </w:pPr>
          </w:p>
        </w:tc>
        <w:tc>
          <w:tcPr>
            <w:tcW w:w="663" w:type="dxa"/>
            <w:shd w:val="clear" w:color="auto" w:fill="auto"/>
            <w:noWrap/>
            <w:vAlign w:val="bottom"/>
            <w:hideMark/>
          </w:tcPr>
          <w:p w14:paraId="0157B6DC" w14:textId="77777777" w:rsidR="00BD4D02" w:rsidRPr="00BD4D02" w:rsidRDefault="00BD4D02" w:rsidP="00BD4D02">
            <w:pPr>
              <w:rPr>
                <w:sz w:val="20"/>
                <w:szCs w:val="20"/>
              </w:rPr>
            </w:pPr>
          </w:p>
        </w:tc>
        <w:tc>
          <w:tcPr>
            <w:tcW w:w="663" w:type="dxa"/>
            <w:shd w:val="clear" w:color="auto" w:fill="auto"/>
            <w:noWrap/>
            <w:vAlign w:val="bottom"/>
            <w:hideMark/>
          </w:tcPr>
          <w:p w14:paraId="1D0ED5B0"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5D288A84"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7756DD87"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5A7D7808"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1A72ABA4"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1180" w:type="dxa"/>
            <w:shd w:val="clear" w:color="auto" w:fill="auto"/>
            <w:noWrap/>
            <w:vAlign w:val="bottom"/>
            <w:hideMark/>
          </w:tcPr>
          <w:p w14:paraId="3C2F7929"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5</w:t>
            </w:r>
          </w:p>
        </w:tc>
      </w:tr>
      <w:tr w:rsidR="00BD4D02" w:rsidRPr="00BD4D02" w14:paraId="0F77A758" w14:textId="77777777" w:rsidTr="00050580">
        <w:trPr>
          <w:trHeight w:val="144"/>
        </w:trPr>
        <w:tc>
          <w:tcPr>
            <w:tcW w:w="4500" w:type="dxa"/>
            <w:shd w:val="clear" w:color="auto" w:fill="auto"/>
            <w:noWrap/>
            <w:vAlign w:val="bottom"/>
            <w:hideMark/>
          </w:tcPr>
          <w:p w14:paraId="57F97DFC"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Devices - handhelds</w:t>
            </w:r>
          </w:p>
        </w:tc>
        <w:tc>
          <w:tcPr>
            <w:tcW w:w="770" w:type="dxa"/>
            <w:shd w:val="clear" w:color="auto" w:fill="auto"/>
            <w:noWrap/>
            <w:vAlign w:val="bottom"/>
            <w:hideMark/>
          </w:tcPr>
          <w:p w14:paraId="19630D95"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080CC93A" w14:textId="77777777" w:rsidR="00BD4D02" w:rsidRPr="00BD4D02" w:rsidRDefault="00BD4D02" w:rsidP="00BD4D02">
            <w:pPr>
              <w:rPr>
                <w:sz w:val="20"/>
                <w:szCs w:val="20"/>
              </w:rPr>
            </w:pPr>
          </w:p>
        </w:tc>
        <w:tc>
          <w:tcPr>
            <w:tcW w:w="663" w:type="dxa"/>
            <w:shd w:val="clear" w:color="auto" w:fill="auto"/>
            <w:noWrap/>
            <w:vAlign w:val="bottom"/>
            <w:hideMark/>
          </w:tcPr>
          <w:p w14:paraId="6D905D1B" w14:textId="77777777" w:rsidR="00BD4D02" w:rsidRPr="00BD4D02" w:rsidRDefault="00BD4D02" w:rsidP="00BD4D02">
            <w:pPr>
              <w:rPr>
                <w:sz w:val="20"/>
                <w:szCs w:val="20"/>
              </w:rPr>
            </w:pPr>
          </w:p>
        </w:tc>
        <w:tc>
          <w:tcPr>
            <w:tcW w:w="663" w:type="dxa"/>
            <w:shd w:val="clear" w:color="auto" w:fill="auto"/>
            <w:noWrap/>
            <w:vAlign w:val="bottom"/>
            <w:hideMark/>
          </w:tcPr>
          <w:p w14:paraId="5650C700" w14:textId="77777777" w:rsidR="00BD4D02" w:rsidRPr="00BD4D02" w:rsidRDefault="00BD4D02" w:rsidP="00BD4D02">
            <w:pPr>
              <w:rPr>
                <w:sz w:val="20"/>
                <w:szCs w:val="20"/>
              </w:rPr>
            </w:pPr>
          </w:p>
        </w:tc>
        <w:tc>
          <w:tcPr>
            <w:tcW w:w="663" w:type="dxa"/>
            <w:shd w:val="clear" w:color="auto" w:fill="auto"/>
            <w:noWrap/>
            <w:vAlign w:val="bottom"/>
            <w:hideMark/>
          </w:tcPr>
          <w:p w14:paraId="73EF1DF1" w14:textId="77777777" w:rsidR="00BD4D02" w:rsidRPr="00BD4D02" w:rsidRDefault="00BD4D02" w:rsidP="00BD4D02">
            <w:pPr>
              <w:rPr>
                <w:sz w:val="20"/>
                <w:szCs w:val="20"/>
              </w:rPr>
            </w:pPr>
          </w:p>
        </w:tc>
        <w:tc>
          <w:tcPr>
            <w:tcW w:w="663" w:type="dxa"/>
            <w:shd w:val="clear" w:color="auto" w:fill="auto"/>
            <w:noWrap/>
            <w:vAlign w:val="bottom"/>
            <w:hideMark/>
          </w:tcPr>
          <w:p w14:paraId="375CA9AD"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78E626E3"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306ED8E3" w14:textId="77777777" w:rsidR="00BD4D02" w:rsidRPr="00BD4D02" w:rsidRDefault="00BD4D02" w:rsidP="00BD4D02">
            <w:pPr>
              <w:rPr>
                <w:sz w:val="20"/>
                <w:szCs w:val="20"/>
              </w:rPr>
            </w:pPr>
          </w:p>
        </w:tc>
        <w:tc>
          <w:tcPr>
            <w:tcW w:w="663" w:type="dxa"/>
            <w:shd w:val="clear" w:color="auto" w:fill="auto"/>
            <w:noWrap/>
            <w:vAlign w:val="bottom"/>
            <w:hideMark/>
          </w:tcPr>
          <w:p w14:paraId="27835136" w14:textId="77777777" w:rsidR="00BD4D02" w:rsidRPr="00BD4D02" w:rsidRDefault="00BD4D02" w:rsidP="00BD4D02">
            <w:pPr>
              <w:rPr>
                <w:sz w:val="20"/>
                <w:szCs w:val="20"/>
              </w:rPr>
            </w:pPr>
          </w:p>
        </w:tc>
        <w:tc>
          <w:tcPr>
            <w:tcW w:w="663" w:type="dxa"/>
            <w:shd w:val="clear" w:color="auto" w:fill="auto"/>
            <w:noWrap/>
            <w:vAlign w:val="bottom"/>
            <w:hideMark/>
          </w:tcPr>
          <w:p w14:paraId="73CF48CD" w14:textId="77777777" w:rsidR="00BD4D02" w:rsidRPr="00BD4D02" w:rsidRDefault="00BD4D02" w:rsidP="00BD4D02">
            <w:pPr>
              <w:rPr>
                <w:sz w:val="20"/>
                <w:szCs w:val="20"/>
              </w:rPr>
            </w:pPr>
          </w:p>
        </w:tc>
        <w:tc>
          <w:tcPr>
            <w:tcW w:w="663" w:type="dxa"/>
            <w:shd w:val="clear" w:color="auto" w:fill="auto"/>
            <w:noWrap/>
            <w:vAlign w:val="bottom"/>
            <w:hideMark/>
          </w:tcPr>
          <w:p w14:paraId="7228C58C" w14:textId="77777777" w:rsidR="00BD4D02" w:rsidRPr="00BD4D02" w:rsidRDefault="00BD4D02" w:rsidP="00BD4D02">
            <w:pPr>
              <w:rPr>
                <w:sz w:val="20"/>
                <w:szCs w:val="20"/>
              </w:rPr>
            </w:pPr>
          </w:p>
        </w:tc>
        <w:tc>
          <w:tcPr>
            <w:tcW w:w="663" w:type="dxa"/>
            <w:shd w:val="clear" w:color="auto" w:fill="auto"/>
            <w:noWrap/>
            <w:vAlign w:val="bottom"/>
            <w:hideMark/>
          </w:tcPr>
          <w:p w14:paraId="212F8D6A" w14:textId="77777777" w:rsidR="00BD4D02" w:rsidRPr="00BD4D02" w:rsidRDefault="00BD4D02" w:rsidP="00BD4D02">
            <w:pPr>
              <w:rPr>
                <w:sz w:val="20"/>
                <w:szCs w:val="20"/>
              </w:rPr>
            </w:pPr>
          </w:p>
        </w:tc>
        <w:tc>
          <w:tcPr>
            <w:tcW w:w="1180" w:type="dxa"/>
            <w:shd w:val="clear" w:color="auto" w:fill="auto"/>
            <w:noWrap/>
            <w:vAlign w:val="bottom"/>
            <w:hideMark/>
          </w:tcPr>
          <w:p w14:paraId="3850D13B"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432A986C" w14:textId="77777777" w:rsidTr="00050580">
        <w:trPr>
          <w:trHeight w:val="144"/>
        </w:trPr>
        <w:tc>
          <w:tcPr>
            <w:tcW w:w="4500" w:type="dxa"/>
            <w:shd w:val="clear" w:color="auto" w:fill="auto"/>
            <w:noWrap/>
            <w:vAlign w:val="bottom"/>
            <w:hideMark/>
          </w:tcPr>
          <w:p w14:paraId="7C5B8573"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Devices - mobile</w:t>
            </w:r>
          </w:p>
        </w:tc>
        <w:tc>
          <w:tcPr>
            <w:tcW w:w="770" w:type="dxa"/>
            <w:shd w:val="clear" w:color="auto" w:fill="auto"/>
            <w:noWrap/>
            <w:vAlign w:val="bottom"/>
            <w:hideMark/>
          </w:tcPr>
          <w:p w14:paraId="5E1B8C9A"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61EDEBA6" w14:textId="77777777" w:rsidR="00BD4D02" w:rsidRPr="00BD4D02" w:rsidRDefault="00BD4D02" w:rsidP="00BD4D02">
            <w:pPr>
              <w:rPr>
                <w:sz w:val="20"/>
                <w:szCs w:val="20"/>
              </w:rPr>
            </w:pPr>
          </w:p>
        </w:tc>
        <w:tc>
          <w:tcPr>
            <w:tcW w:w="663" w:type="dxa"/>
            <w:shd w:val="clear" w:color="auto" w:fill="auto"/>
            <w:noWrap/>
            <w:vAlign w:val="bottom"/>
            <w:hideMark/>
          </w:tcPr>
          <w:p w14:paraId="7F763B3C" w14:textId="77777777" w:rsidR="00BD4D02" w:rsidRPr="00BD4D02" w:rsidRDefault="00BD4D02" w:rsidP="00BD4D02">
            <w:pPr>
              <w:rPr>
                <w:sz w:val="20"/>
                <w:szCs w:val="20"/>
              </w:rPr>
            </w:pPr>
          </w:p>
        </w:tc>
        <w:tc>
          <w:tcPr>
            <w:tcW w:w="663" w:type="dxa"/>
            <w:shd w:val="clear" w:color="auto" w:fill="auto"/>
            <w:noWrap/>
            <w:vAlign w:val="bottom"/>
            <w:hideMark/>
          </w:tcPr>
          <w:p w14:paraId="75CB5744" w14:textId="77777777" w:rsidR="00BD4D02" w:rsidRPr="00BD4D02" w:rsidRDefault="00BD4D02" w:rsidP="00BD4D02">
            <w:pPr>
              <w:rPr>
                <w:sz w:val="20"/>
                <w:szCs w:val="20"/>
              </w:rPr>
            </w:pPr>
          </w:p>
        </w:tc>
        <w:tc>
          <w:tcPr>
            <w:tcW w:w="663" w:type="dxa"/>
            <w:shd w:val="clear" w:color="auto" w:fill="auto"/>
            <w:noWrap/>
            <w:vAlign w:val="bottom"/>
            <w:hideMark/>
          </w:tcPr>
          <w:p w14:paraId="14DFD041" w14:textId="77777777" w:rsidR="00BD4D02" w:rsidRPr="00BD4D02" w:rsidRDefault="00BD4D02" w:rsidP="00BD4D02">
            <w:pPr>
              <w:rPr>
                <w:sz w:val="20"/>
                <w:szCs w:val="20"/>
              </w:rPr>
            </w:pPr>
          </w:p>
        </w:tc>
        <w:tc>
          <w:tcPr>
            <w:tcW w:w="663" w:type="dxa"/>
            <w:shd w:val="clear" w:color="auto" w:fill="auto"/>
            <w:noWrap/>
            <w:vAlign w:val="bottom"/>
            <w:hideMark/>
          </w:tcPr>
          <w:p w14:paraId="69450D86"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w:t>
            </w:r>
          </w:p>
        </w:tc>
        <w:tc>
          <w:tcPr>
            <w:tcW w:w="663" w:type="dxa"/>
            <w:shd w:val="clear" w:color="auto" w:fill="auto"/>
            <w:noWrap/>
            <w:vAlign w:val="bottom"/>
            <w:hideMark/>
          </w:tcPr>
          <w:p w14:paraId="1924CB90"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4</w:t>
            </w:r>
          </w:p>
        </w:tc>
        <w:tc>
          <w:tcPr>
            <w:tcW w:w="663" w:type="dxa"/>
            <w:shd w:val="clear" w:color="auto" w:fill="auto"/>
            <w:noWrap/>
            <w:vAlign w:val="bottom"/>
            <w:hideMark/>
          </w:tcPr>
          <w:p w14:paraId="33A20CC9"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4</w:t>
            </w:r>
          </w:p>
        </w:tc>
        <w:tc>
          <w:tcPr>
            <w:tcW w:w="663" w:type="dxa"/>
            <w:shd w:val="clear" w:color="auto" w:fill="auto"/>
            <w:noWrap/>
            <w:vAlign w:val="bottom"/>
            <w:hideMark/>
          </w:tcPr>
          <w:p w14:paraId="6AD13AB5"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w:t>
            </w:r>
          </w:p>
        </w:tc>
        <w:tc>
          <w:tcPr>
            <w:tcW w:w="663" w:type="dxa"/>
            <w:shd w:val="clear" w:color="auto" w:fill="auto"/>
            <w:noWrap/>
            <w:vAlign w:val="bottom"/>
            <w:hideMark/>
          </w:tcPr>
          <w:p w14:paraId="77C61ABA"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w:t>
            </w:r>
          </w:p>
        </w:tc>
        <w:tc>
          <w:tcPr>
            <w:tcW w:w="663" w:type="dxa"/>
            <w:shd w:val="clear" w:color="auto" w:fill="auto"/>
            <w:noWrap/>
            <w:vAlign w:val="bottom"/>
            <w:hideMark/>
          </w:tcPr>
          <w:p w14:paraId="05FC3DD8"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w:t>
            </w:r>
          </w:p>
        </w:tc>
        <w:tc>
          <w:tcPr>
            <w:tcW w:w="663" w:type="dxa"/>
            <w:shd w:val="clear" w:color="auto" w:fill="auto"/>
            <w:noWrap/>
            <w:vAlign w:val="bottom"/>
            <w:hideMark/>
          </w:tcPr>
          <w:p w14:paraId="38DD4D14"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w:t>
            </w:r>
          </w:p>
        </w:tc>
        <w:tc>
          <w:tcPr>
            <w:tcW w:w="1180" w:type="dxa"/>
            <w:shd w:val="clear" w:color="auto" w:fill="auto"/>
            <w:noWrap/>
            <w:vAlign w:val="bottom"/>
            <w:hideMark/>
          </w:tcPr>
          <w:p w14:paraId="1CE2C84B"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23</w:t>
            </w:r>
          </w:p>
        </w:tc>
      </w:tr>
      <w:tr w:rsidR="00BD4D02" w:rsidRPr="00BD4D02" w14:paraId="0B5A42C6" w14:textId="77777777" w:rsidTr="00050580">
        <w:trPr>
          <w:trHeight w:val="144"/>
        </w:trPr>
        <w:tc>
          <w:tcPr>
            <w:tcW w:w="4500" w:type="dxa"/>
            <w:shd w:val="clear" w:color="auto" w:fill="auto"/>
            <w:noWrap/>
            <w:vAlign w:val="bottom"/>
            <w:hideMark/>
          </w:tcPr>
          <w:p w14:paraId="54264365"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Devices - phones</w:t>
            </w:r>
          </w:p>
        </w:tc>
        <w:tc>
          <w:tcPr>
            <w:tcW w:w="770" w:type="dxa"/>
            <w:shd w:val="clear" w:color="auto" w:fill="auto"/>
            <w:noWrap/>
            <w:vAlign w:val="bottom"/>
            <w:hideMark/>
          </w:tcPr>
          <w:p w14:paraId="5AF46390"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6C9C7E66" w14:textId="77777777" w:rsidR="00BD4D02" w:rsidRPr="00BD4D02" w:rsidRDefault="00BD4D02" w:rsidP="00BD4D02">
            <w:pPr>
              <w:rPr>
                <w:sz w:val="20"/>
                <w:szCs w:val="20"/>
              </w:rPr>
            </w:pPr>
          </w:p>
        </w:tc>
        <w:tc>
          <w:tcPr>
            <w:tcW w:w="663" w:type="dxa"/>
            <w:shd w:val="clear" w:color="auto" w:fill="auto"/>
            <w:noWrap/>
            <w:vAlign w:val="bottom"/>
            <w:hideMark/>
          </w:tcPr>
          <w:p w14:paraId="4AAA0F42" w14:textId="77777777" w:rsidR="00BD4D02" w:rsidRPr="00BD4D02" w:rsidRDefault="00BD4D02" w:rsidP="00BD4D02">
            <w:pPr>
              <w:rPr>
                <w:sz w:val="20"/>
                <w:szCs w:val="20"/>
              </w:rPr>
            </w:pPr>
          </w:p>
        </w:tc>
        <w:tc>
          <w:tcPr>
            <w:tcW w:w="663" w:type="dxa"/>
            <w:shd w:val="clear" w:color="auto" w:fill="auto"/>
            <w:noWrap/>
            <w:vAlign w:val="bottom"/>
            <w:hideMark/>
          </w:tcPr>
          <w:p w14:paraId="791828B8" w14:textId="77777777" w:rsidR="00BD4D02" w:rsidRPr="00BD4D02" w:rsidRDefault="00BD4D02" w:rsidP="00BD4D02">
            <w:pPr>
              <w:rPr>
                <w:sz w:val="20"/>
                <w:szCs w:val="20"/>
              </w:rPr>
            </w:pPr>
          </w:p>
        </w:tc>
        <w:tc>
          <w:tcPr>
            <w:tcW w:w="663" w:type="dxa"/>
            <w:shd w:val="clear" w:color="auto" w:fill="auto"/>
            <w:noWrap/>
            <w:vAlign w:val="bottom"/>
            <w:hideMark/>
          </w:tcPr>
          <w:p w14:paraId="2EDF2191" w14:textId="77777777" w:rsidR="00BD4D02" w:rsidRPr="00BD4D02" w:rsidRDefault="00BD4D02" w:rsidP="00BD4D02">
            <w:pPr>
              <w:rPr>
                <w:sz w:val="20"/>
                <w:szCs w:val="20"/>
              </w:rPr>
            </w:pPr>
          </w:p>
        </w:tc>
        <w:tc>
          <w:tcPr>
            <w:tcW w:w="663" w:type="dxa"/>
            <w:shd w:val="clear" w:color="auto" w:fill="auto"/>
            <w:noWrap/>
            <w:vAlign w:val="bottom"/>
            <w:hideMark/>
          </w:tcPr>
          <w:p w14:paraId="411781EE" w14:textId="77777777" w:rsidR="00BD4D02" w:rsidRPr="00BD4D02" w:rsidRDefault="00BD4D02" w:rsidP="00BD4D02">
            <w:pPr>
              <w:rPr>
                <w:sz w:val="20"/>
                <w:szCs w:val="20"/>
              </w:rPr>
            </w:pPr>
          </w:p>
        </w:tc>
        <w:tc>
          <w:tcPr>
            <w:tcW w:w="663" w:type="dxa"/>
            <w:shd w:val="clear" w:color="auto" w:fill="auto"/>
            <w:noWrap/>
            <w:vAlign w:val="bottom"/>
            <w:hideMark/>
          </w:tcPr>
          <w:p w14:paraId="3DE06186" w14:textId="77777777" w:rsidR="00BD4D02" w:rsidRPr="00BD4D02" w:rsidRDefault="00BD4D02" w:rsidP="00BD4D02">
            <w:pPr>
              <w:rPr>
                <w:sz w:val="20"/>
                <w:szCs w:val="20"/>
              </w:rPr>
            </w:pPr>
          </w:p>
        </w:tc>
        <w:tc>
          <w:tcPr>
            <w:tcW w:w="663" w:type="dxa"/>
            <w:shd w:val="clear" w:color="auto" w:fill="auto"/>
            <w:noWrap/>
            <w:vAlign w:val="bottom"/>
            <w:hideMark/>
          </w:tcPr>
          <w:p w14:paraId="640A384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771D0900"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2FEF3AB7" w14:textId="77777777" w:rsidR="00BD4D02" w:rsidRPr="00BD4D02" w:rsidRDefault="00BD4D02" w:rsidP="00BD4D02">
            <w:pPr>
              <w:rPr>
                <w:sz w:val="20"/>
                <w:szCs w:val="20"/>
              </w:rPr>
            </w:pPr>
          </w:p>
        </w:tc>
        <w:tc>
          <w:tcPr>
            <w:tcW w:w="663" w:type="dxa"/>
            <w:shd w:val="clear" w:color="auto" w:fill="auto"/>
            <w:noWrap/>
            <w:vAlign w:val="bottom"/>
            <w:hideMark/>
          </w:tcPr>
          <w:p w14:paraId="07AC3FBF" w14:textId="77777777" w:rsidR="00BD4D02" w:rsidRPr="00BD4D02" w:rsidRDefault="00BD4D02" w:rsidP="00BD4D02">
            <w:pPr>
              <w:rPr>
                <w:sz w:val="20"/>
                <w:szCs w:val="20"/>
              </w:rPr>
            </w:pPr>
          </w:p>
        </w:tc>
        <w:tc>
          <w:tcPr>
            <w:tcW w:w="663" w:type="dxa"/>
            <w:shd w:val="clear" w:color="auto" w:fill="auto"/>
            <w:noWrap/>
            <w:vAlign w:val="bottom"/>
            <w:hideMark/>
          </w:tcPr>
          <w:p w14:paraId="76163DE0" w14:textId="77777777" w:rsidR="00BD4D02" w:rsidRPr="00BD4D02" w:rsidRDefault="00BD4D02" w:rsidP="00BD4D02">
            <w:pPr>
              <w:rPr>
                <w:sz w:val="20"/>
                <w:szCs w:val="20"/>
              </w:rPr>
            </w:pPr>
          </w:p>
        </w:tc>
        <w:tc>
          <w:tcPr>
            <w:tcW w:w="1180" w:type="dxa"/>
            <w:shd w:val="clear" w:color="auto" w:fill="auto"/>
            <w:noWrap/>
            <w:vAlign w:val="bottom"/>
            <w:hideMark/>
          </w:tcPr>
          <w:p w14:paraId="4E50C31E"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4E72876F" w14:textId="77777777" w:rsidTr="00050580">
        <w:trPr>
          <w:trHeight w:val="144"/>
        </w:trPr>
        <w:tc>
          <w:tcPr>
            <w:tcW w:w="4500" w:type="dxa"/>
            <w:shd w:val="clear" w:color="auto" w:fill="auto"/>
            <w:noWrap/>
            <w:vAlign w:val="bottom"/>
            <w:hideMark/>
          </w:tcPr>
          <w:p w14:paraId="20C0567C"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Devices - shipments</w:t>
            </w:r>
          </w:p>
        </w:tc>
        <w:tc>
          <w:tcPr>
            <w:tcW w:w="770" w:type="dxa"/>
            <w:shd w:val="clear" w:color="auto" w:fill="auto"/>
            <w:noWrap/>
            <w:vAlign w:val="bottom"/>
            <w:hideMark/>
          </w:tcPr>
          <w:p w14:paraId="0DC2A180"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7EBA65CA" w14:textId="77777777" w:rsidR="00BD4D02" w:rsidRPr="00BD4D02" w:rsidRDefault="00BD4D02" w:rsidP="00BD4D02">
            <w:pPr>
              <w:rPr>
                <w:sz w:val="20"/>
                <w:szCs w:val="20"/>
              </w:rPr>
            </w:pPr>
          </w:p>
        </w:tc>
        <w:tc>
          <w:tcPr>
            <w:tcW w:w="663" w:type="dxa"/>
            <w:shd w:val="clear" w:color="auto" w:fill="auto"/>
            <w:noWrap/>
            <w:vAlign w:val="bottom"/>
            <w:hideMark/>
          </w:tcPr>
          <w:p w14:paraId="4FE002B9" w14:textId="77777777" w:rsidR="00BD4D02" w:rsidRPr="00BD4D02" w:rsidRDefault="00BD4D02" w:rsidP="00BD4D02">
            <w:pPr>
              <w:rPr>
                <w:sz w:val="20"/>
                <w:szCs w:val="20"/>
              </w:rPr>
            </w:pPr>
          </w:p>
        </w:tc>
        <w:tc>
          <w:tcPr>
            <w:tcW w:w="663" w:type="dxa"/>
            <w:shd w:val="clear" w:color="auto" w:fill="auto"/>
            <w:noWrap/>
            <w:vAlign w:val="bottom"/>
            <w:hideMark/>
          </w:tcPr>
          <w:p w14:paraId="5FD55549"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1635C8CF"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28656745"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55379323"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50149415" w14:textId="77777777" w:rsidR="00BD4D02" w:rsidRPr="00BD4D02" w:rsidRDefault="00BD4D02" w:rsidP="00BD4D02">
            <w:pPr>
              <w:rPr>
                <w:sz w:val="20"/>
                <w:szCs w:val="20"/>
              </w:rPr>
            </w:pPr>
          </w:p>
        </w:tc>
        <w:tc>
          <w:tcPr>
            <w:tcW w:w="663" w:type="dxa"/>
            <w:shd w:val="clear" w:color="auto" w:fill="auto"/>
            <w:noWrap/>
            <w:vAlign w:val="bottom"/>
            <w:hideMark/>
          </w:tcPr>
          <w:p w14:paraId="4081D8D3" w14:textId="77777777" w:rsidR="00BD4D02" w:rsidRPr="00BD4D02" w:rsidRDefault="00BD4D02" w:rsidP="00BD4D02">
            <w:pPr>
              <w:rPr>
                <w:sz w:val="20"/>
                <w:szCs w:val="20"/>
              </w:rPr>
            </w:pPr>
          </w:p>
        </w:tc>
        <w:tc>
          <w:tcPr>
            <w:tcW w:w="663" w:type="dxa"/>
            <w:shd w:val="clear" w:color="auto" w:fill="auto"/>
            <w:noWrap/>
            <w:vAlign w:val="bottom"/>
            <w:hideMark/>
          </w:tcPr>
          <w:p w14:paraId="5067DF68" w14:textId="77777777" w:rsidR="00BD4D02" w:rsidRPr="00BD4D02" w:rsidRDefault="00BD4D02" w:rsidP="00BD4D02">
            <w:pPr>
              <w:rPr>
                <w:sz w:val="20"/>
                <w:szCs w:val="20"/>
              </w:rPr>
            </w:pPr>
          </w:p>
        </w:tc>
        <w:tc>
          <w:tcPr>
            <w:tcW w:w="663" w:type="dxa"/>
            <w:shd w:val="clear" w:color="auto" w:fill="auto"/>
            <w:noWrap/>
            <w:vAlign w:val="bottom"/>
            <w:hideMark/>
          </w:tcPr>
          <w:p w14:paraId="3BF280EF" w14:textId="77777777" w:rsidR="00BD4D02" w:rsidRPr="00BD4D02" w:rsidRDefault="00BD4D02" w:rsidP="00BD4D02">
            <w:pPr>
              <w:rPr>
                <w:sz w:val="20"/>
                <w:szCs w:val="20"/>
              </w:rPr>
            </w:pPr>
          </w:p>
        </w:tc>
        <w:tc>
          <w:tcPr>
            <w:tcW w:w="663" w:type="dxa"/>
            <w:shd w:val="clear" w:color="auto" w:fill="auto"/>
            <w:noWrap/>
            <w:vAlign w:val="bottom"/>
            <w:hideMark/>
          </w:tcPr>
          <w:p w14:paraId="614916BB" w14:textId="77777777" w:rsidR="00BD4D02" w:rsidRPr="00BD4D02" w:rsidRDefault="00BD4D02" w:rsidP="00BD4D02">
            <w:pPr>
              <w:rPr>
                <w:sz w:val="20"/>
                <w:szCs w:val="20"/>
              </w:rPr>
            </w:pPr>
          </w:p>
        </w:tc>
        <w:tc>
          <w:tcPr>
            <w:tcW w:w="1180" w:type="dxa"/>
            <w:shd w:val="clear" w:color="auto" w:fill="auto"/>
            <w:noWrap/>
            <w:vAlign w:val="bottom"/>
            <w:hideMark/>
          </w:tcPr>
          <w:p w14:paraId="4BF9EFD4"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w:t>
            </w:r>
          </w:p>
        </w:tc>
      </w:tr>
      <w:tr w:rsidR="00BD4D02" w:rsidRPr="00BD4D02" w14:paraId="28E06CC6" w14:textId="77777777" w:rsidTr="00050580">
        <w:trPr>
          <w:trHeight w:val="144"/>
        </w:trPr>
        <w:tc>
          <w:tcPr>
            <w:tcW w:w="4500" w:type="dxa"/>
            <w:shd w:val="clear" w:color="auto" w:fill="auto"/>
            <w:noWrap/>
            <w:vAlign w:val="bottom"/>
            <w:hideMark/>
          </w:tcPr>
          <w:p w14:paraId="1AC28AFD"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High-speed lines</w:t>
            </w:r>
          </w:p>
        </w:tc>
        <w:tc>
          <w:tcPr>
            <w:tcW w:w="770" w:type="dxa"/>
            <w:shd w:val="clear" w:color="auto" w:fill="auto"/>
            <w:noWrap/>
            <w:vAlign w:val="bottom"/>
            <w:hideMark/>
          </w:tcPr>
          <w:p w14:paraId="345AC156"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18B7C747" w14:textId="77777777" w:rsidR="00BD4D02" w:rsidRPr="00BD4D02" w:rsidRDefault="00BD4D02" w:rsidP="00BD4D02">
            <w:pPr>
              <w:rPr>
                <w:sz w:val="20"/>
                <w:szCs w:val="20"/>
              </w:rPr>
            </w:pPr>
          </w:p>
        </w:tc>
        <w:tc>
          <w:tcPr>
            <w:tcW w:w="663" w:type="dxa"/>
            <w:shd w:val="clear" w:color="auto" w:fill="auto"/>
            <w:noWrap/>
            <w:vAlign w:val="bottom"/>
            <w:hideMark/>
          </w:tcPr>
          <w:p w14:paraId="5D64A9C3" w14:textId="77777777" w:rsidR="00BD4D02" w:rsidRPr="00BD4D02" w:rsidRDefault="00BD4D02" w:rsidP="00BD4D02">
            <w:pPr>
              <w:rPr>
                <w:sz w:val="20"/>
                <w:szCs w:val="20"/>
              </w:rPr>
            </w:pPr>
          </w:p>
        </w:tc>
        <w:tc>
          <w:tcPr>
            <w:tcW w:w="663" w:type="dxa"/>
            <w:shd w:val="clear" w:color="auto" w:fill="auto"/>
            <w:noWrap/>
            <w:vAlign w:val="bottom"/>
            <w:hideMark/>
          </w:tcPr>
          <w:p w14:paraId="79D175CD" w14:textId="77777777" w:rsidR="00BD4D02" w:rsidRPr="00BD4D02" w:rsidRDefault="00BD4D02" w:rsidP="00BD4D02">
            <w:pPr>
              <w:rPr>
                <w:sz w:val="20"/>
                <w:szCs w:val="20"/>
              </w:rPr>
            </w:pPr>
          </w:p>
        </w:tc>
        <w:tc>
          <w:tcPr>
            <w:tcW w:w="663" w:type="dxa"/>
            <w:shd w:val="clear" w:color="auto" w:fill="auto"/>
            <w:noWrap/>
            <w:vAlign w:val="bottom"/>
            <w:hideMark/>
          </w:tcPr>
          <w:p w14:paraId="73A1431D" w14:textId="77777777" w:rsidR="00BD4D02" w:rsidRPr="00BD4D02" w:rsidRDefault="00BD4D02" w:rsidP="00BD4D02">
            <w:pPr>
              <w:rPr>
                <w:sz w:val="20"/>
                <w:szCs w:val="20"/>
              </w:rPr>
            </w:pPr>
          </w:p>
        </w:tc>
        <w:tc>
          <w:tcPr>
            <w:tcW w:w="663" w:type="dxa"/>
            <w:shd w:val="clear" w:color="auto" w:fill="auto"/>
            <w:noWrap/>
            <w:vAlign w:val="bottom"/>
            <w:hideMark/>
          </w:tcPr>
          <w:p w14:paraId="0C98A34E" w14:textId="77777777" w:rsidR="00BD4D02" w:rsidRPr="00BD4D02" w:rsidRDefault="00BD4D02" w:rsidP="00BD4D02">
            <w:pPr>
              <w:rPr>
                <w:sz w:val="20"/>
                <w:szCs w:val="20"/>
              </w:rPr>
            </w:pPr>
          </w:p>
        </w:tc>
        <w:tc>
          <w:tcPr>
            <w:tcW w:w="663" w:type="dxa"/>
            <w:shd w:val="clear" w:color="auto" w:fill="auto"/>
            <w:noWrap/>
            <w:vAlign w:val="bottom"/>
            <w:hideMark/>
          </w:tcPr>
          <w:p w14:paraId="56BD8CE0" w14:textId="77777777" w:rsidR="00BD4D02" w:rsidRPr="00BD4D02" w:rsidRDefault="00BD4D02" w:rsidP="00BD4D02">
            <w:pPr>
              <w:rPr>
                <w:sz w:val="20"/>
                <w:szCs w:val="20"/>
              </w:rPr>
            </w:pPr>
          </w:p>
        </w:tc>
        <w:tc>
          <w:tcPr>
            <w:tcW w:w="663" w:type="dxa"/>
            <w:shd w:val="clear" w:color="auto" w:fill="auto"/>
            <w:noWrap/>
            <w:vAlign w:val="bottom"/>
            <w:hideMark/>
          </w:tcPr>
          <w:p w14:paraId="40D2474A" w14:textId="77777777" w:rsidR="00BD4D02" w:rsidRPr="00BD4D02" w:rsidRDefault="00BD4D02" w:rsidP="00BD4D02">
            <w:pPr>
              <w:rPr>
                <w:sz w:val="20"/>
                <w:szCs w:val="20"/>
              </w:rPr>
            </w:pPr>
          </w:p>
        </w:tc>
        <w:tc>
          <w:tcPr>
            <w:tcW w:w="663" w:type="dxa"/>
            <w:shd w:val="clear" w:color="auto" w:fill="auto"/>
            <w:noWrap/>
            <w:vAlign w:val="bottom"/>
            <w:hideMark/>
          </w:tcPr>
          <w:p w14:paraId="5E05BA85" w14:textId="77777777" w:rsidR="00BD4D02" w:rsidRPr="00BD4D02" w:rsidRDefault="00BD4D02" w:rsidP="00BD4D02">
            <w:pPr>
              <w:rPr>
                <w:sz w:val="20"/>
                <w:szCs w:val="20"/>
              </w:rPr>
            </w:pPr>
          </w:p>
        </w:tc>
        <w:tc>
          <w:tcPr>
            <w:tcW w:w="663" w:type="dxa"/>
            <w:shd w:val="clear" w:color="auto" w:fill="auto"/>
            <w:noWrap/>
            <w:vAlign w:val="bottom"/>
            <w:hideMark/>
          </w:tcPr>
          <w:p w14:paraId="1CD17BF3" w14:textId="77777777" w:rsidR="00BD4D02" w:rsidRPr="00BD4D02" w:rsidRDefault="00BD4D02" w:rsidP="00BD4D02">
            <w:pPr>
              <w:rPr>
                <w:sz w:val="20"/>
                <w:szCs w:val="20"/>
              </w:rPr>
            </w:pPr>
          </w:p>
        </w:tc>
        <w:tc>
          <w:tcPr>
            <w:tcW w:w="663" w:type="dxa"/>
            <w:shd w:val="clear" w:color="auto" w:fill="auto"/>
            <w:noWrap/>
            <w:vAlign w:val="bottom"/>
            <w:hideMark/>
          </w:tcPr>
          <w:p w14:paraId="2B8CE7E1" w14:textId="77777777" w:rsidR="00BD4D02" w:rsidRPr="00BD4D02" w:rsidRDefault="00BD4D02" w:rsidP="00BD4D02">
            <w:pPr>
              <w:rPr>
                <w:sz w:val="20"/>
                <w:szCs w:val="20"/>
              </w:rPr>
            </w:pPr>
          </w:p>
        </w:tc>
        <w:tc>
          <w:tcPr>
            <w:tcW w:w="663" w:type="dxa"/>
            <w:shd w:val="clear" w:color="auto" w:fill="auto"/>
            <w:noWrap/>
            <w:vAlign w:val="bottom"/>
            <w:hideMark/>
          </w:tcPr>
          <w:p w14:paraId="57A86AF8"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1180" w:type="dxa"/>
            <w:shd w:val="clear" w:color="auto" w:fill="auto"/>
            <w:noWrap/>
            <w:vAlign w:val="bottom"/>
            <w:hideMark/>
          </w:tcPr>
          <w:p w14:paraId="731C89D4"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06ECACB2" w14:textId="77777777" w:rsidTr="00050580">
        <w:trPr>
          <w:trHeight w:val="144"/>
        </w:trPr>
        <w:tc>
          <w:tcPr>
            <w:tcW w:w="4500" w:type="dxa"/>
            <w:shd w:val="clear" w:color="auto" w:fill="auto"/>
            <w:noWrap/>
            <w:vAlign w:val="bottom"/>
            <w:hideMark/>
          </w:tcPr>
          <w:p w14:paraId="44B9AAFE"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Households - broadband</w:t>
            </w:r>
          </w:p>
        </w:tc>
        <w:tc>
          <w:tcPr>
            <w:tcW w:w="770" w:type="dxa"/>
            <w:shd w:val="clear" w:color="auto" w:fill="auto"/>
            <w:noWrap/>
            <w:vAlign w:val="bottom"/>
            <w:hideMark/>
          </w:tcPr>
          <w:p w14:paraId="21E19B8E"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671962C9" w14:textId="77777777" w:rsidR="00BD4D02" w:rsidRPr="00BD4D02" w:rsidRDefault="00BD4D02" w:rsidP="00BD4D02">
            <w:pPr>
              <w:rPr>
                <w:sz w:val="20"/>
                <w:szCs w:val="20"/>
              </w:rPr>
            </w:pPr>
          </w:p>
        </w:tc>
        <w:tc>
          <w:tcPr>
            <w:tcW w:w="663" w:type="dxa"/>
            <w:shd w:val="clear" w:color="auto" w:fill="auto"/>
            <w:noWrap/>
            <w:vAlign w:val="bottom"/>
            <w:hideMark/>
          </w:tcPr>
          <w:p w14:paraId="53EFAECE" w14:textId="77777777" w:rsidR="00BD4D02" w:rsidRPr="00BD4D02" w:rsidRDefault="00BD4D02" w:rsidP="00BD4D02">
            <w:pPr>
              <w:rPr>
                <w:sz w:val="20"/>
                <w:szCs w:val="20"/>
              </w:rPr>
            </w:pPr>
          </w:p>
        </w:tc>
        <w:tc>
          <w:tcPr>
            <w:tcW w:w="663" w:type="dxa"/>
            <w:shd w:val="clear" w:color="auto" w:fill="auto"/>
            <w:noWrap/>
            <w:vAlign w:val="bottom"/>
            <w:hideMark/>
          </w:tcPr>
          <w:p w14:paraId="2D12035B" w14:textId="77777777" w:rsidR="00BD4D02" w:rsidRPr="00BD4D02" w:rsidRDefault="00BD4D02" w:rsidP="00BD4D02">
            <w:pPr>
              <w:rPr>
                <w:sz w:val="20"/>
                <w:szCs w:val="20"/>
              </w:rPr>
            </w:pPr>
          </w:p>
        </w:tc>
        <w:tc>
          <w:tcPr>
            <w:tcW w:w="663" w:type="dxa"/>
            <w:shd w:val="clear" w:color="auto" w:fill="auto"/>
            <w:noWrap/>
            <w:vAlign w:val="bottom"/>
            <w:hideMark/>
          </w:tcPr>
          <w:p w14:paraId="271790D4" w14:textId="77777777" w:rsidR="00BD4D02" w:rsidRPr="00BD4D02" w:rsidRDefault="00BD4D02" w:rsidP="00BD4D02">
            <w:pPr>
              <w:rPr>
                <w:sz w:val="20"/>
                <w:szCs w:val="20"/>
              </w:rPr>
            </w:pPr>
          </w:p>
        </w:tc>
        <w:tc>
          <w:tcPr>
            <w:tcW w:w="663" w:type="dxa"/>
            <w:shd w:val="clear" w:color="auto" w:fill="auto"/>
            <w:noWrap/>
            <w:vAlign w:val="bottom"/>
            <w:hideMark/>
          </w:tcPr>
          <w:p w14:paraId="4E1BD587" w14:textId="77777777" w:rsidR="00BD4D02" w:rsidRPr="00BD4D02" w:rsidRDefault="00BD4D02" w:rsidP="00BD4D02">
            <w:pPr>
              <w:rPr>
                <w:sz w:val="20"/>
                <w:szCs w:val="20"/>
              </w:rPr>
            </w:pPr>
          </w:p>
        </w:tc>
        <w:tc>
          <w:tcPr>
            <w:tcW w:w="663" w:type="dxa"/>
            <w:shd w:val="clear" w:color="auto" w:fill="auto"/>
            <w:noWrap/>
            <w:vAlign w:val="bottom"/>
            <w:hideMark/>
          </w:tcPr>
          <w:p w14:paraId="1CDB84F2" w14:textId="77777777" w:rsidR="00BD4D02" w:rsidRPr="00BD4D02" w:rsidRDefault="00BD4D02" w:rsidP="00BD4D02">
            <w:pPr>
              <w:rPr>
                <w:sz w:val="20"/>
                <w:szCs w:val="20"/>
              </w:rPr>
            </w:pPr>
          </w:p>
        </w:tc>
        <w:tc>
          <w:tcPr>
            <w:tcW w:w="663" w:type="dxa"/>
            <w:shd w:val="clear" w:color="auto" w:fill="auto"/>
            <w:noWrap/>
            <w:vAlign w:val="bottom"/>
            <w:hideMark/>
          </w:tcPr>
          <w:p w14:paraId="2C87F6C8" w14:textId="77777777" w:rsidR="00BD4D02" w:rsidRPr="00BD4D02" w:rsidRDefault="00BD4D02" w:rsidP="00BD4D02">
            <w:pPr>
              <w:rPr>
                <w:sz w:val="20"/>
                <w:szCs w:val="20"/>
              </w:rPr>
            </w:pPr>
          </w:p>
        </w:tc>
        <w:tc>
          <w:tcPr>
            <w:tcW w:w="663" w:type="dxa"/>
            <w:shd w:val="clear" w:color="auto" w:fill="auto"/>
            <w:noWrap/>
            <w:vAlign w:val="bottom"/>
            <w:hideMark/>
          </w:tcPr>
          <w:p w14:paraId="77131957" w14:textId="77777777" w:rsidR="00BD4D02" w:rsidRPr="00BD4D02" w:rsidRDefault="00BD4D02" w:rsidP="00BD4D02">
            <w:pPr>
              <w:rPr>
                <w:sz w:val="20"/>
                <w:szCs w:val="20"/>
              </w:rPr>
            </w:pPr>
          </w:p>
        </w:tc>
        <w:tc>
          <w:tcPr>
            <w:tcW w:w="663" w:type="dxa"/>
            <w:shd w:val="clear" w:color="auto" w:fill="auto"/>
            <w:noWrap/>
            <w:vAlign w:val="bottom"/>
            <w:hideMark/>
          </w:tcPr>
          <w:p w14:paraId="32C011C5" w14:textId="77777777" w:rsidR="00BD4D02" w:rsidRPr="00BD4D02" w:rsidRDefault="00BD4D02" w:rsidP="00BD4D02">
            <w:pPr>
              <w:rPr>
                <w:sz w:val="20"/>
                <w:szCs w:val="20"/>
              </w:rPr>
            </w:pPr>
          </w:p>
        </w:tc>
        <w:tc>
          <w:tcPr>
            <w:tcW w:w="663" w:type="dxa"/>
            <w:shd w:val="clear" w:color="auto" w:fill="auto"/>
            <w:noWrap/>
            <w:vAlign w:val="bottom"/>
            <w:hideMark/>
          </w:tcPr>
          <w:p w14:paraId="0D769374"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1903774D" w14:textId="77777777" w:rsidR="00BD4D02" w:rsidRPr="00BD4D02" w:rsidRDefault="00BD4D02" w:rsidP="00BD4D02">
            <w:pPr>
              <w:jc w:val="right"/>
              <w:rPr>
                <w:rFonts w:ascii="Calibri" w:hAnsi="Calibri" w:cs="Calibri"/>
                <w:color w:val="000000"/>
                <w:sz w:val="20"/>
                <w:szCs w:val="20"/>
              </w:rPr>
            </w:pPr>
          </w:p>
        </w:tc>
        <w:tc>
          <w:tcPr>
            <w:tcW w:w="1180" w:type="dxa"/>
            <w:shd w:val="clear" w:color="auto" w:fill="auto"/>
            <w:noWrap/>
            <w:vAlign w:val="bottom"/>
            <w:hideMark/>
          </w:tcPr>
          <w:p w14:paraId="3504744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034C2256" w14:textId="77777777" w:rsidTr="00050580">
        <w:trPr>
          <w:trHeight w:val="144"/>
        </w:trPr>
        <w:tc>
          <w:tcPr>
            <w:tcW w:w="4500" w:type="dxa"/>
            <w:shd w:val="clear" w:color="auto" w:fill="auto"/>
            <w:noWrap/>
            <w:vAlign w:val="bottom"/>
            <w:hideMark/>
          </w:tcPr>
          <w:p w14:paraId="40A9DC4A"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lastRenderedPageBreak/>
              <w:t>Households - fibre-optic</w:t>
            </w:r>
          </w:p>
        </w:tc>
        <w:tc>
          <w:tcPr>
            <w:tcW w:w="770" w:type="dxa"/>
            <w:shd w:val="clear" w:color="auto" w:fill="auto"/>
            <w:noWrap/>
            <w:vAlign w:val="bottom"/>
            <w:hideMark/>
          </w:tcPr>
          <w:p w14:paraId="4F74E27E"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5221CCEC" w14:textId="77777777" w:rsidR="00BD4D02" w:rsidRPr="00BD4D02" w:rsidRDefault="00BD4D02" w:rsidP="00BD4D02">
            <w:pPr>
              <w:rPr>
                <w:sz w:val="20"/>
                <w:szCs w:val="20"/>
              </w:rPr>
            </w:pPr>
          </w:p>
        </w:tc>
        <w:tc>
          <w:tcPr>
            <w:tcW w:w="663" w:type="dxa"/>
            <w:shd w:val="clear" w:color="auto" w:fill="auto"/>
            <w:noWrap/>
            <w:vAlign w:val="bottom"/>
            <w:hideMark/>
          </w:tcPr>
          <w:p w14:paraId="75BF48B5" w14:textId="77777777" w:rsidR="00BD4D02" w:rsidRPr="00BD4D02" w:rsidRDefault="00BD4D02" w:rsidP="00BD4D02">
            <w:pPr>
              <w:rPr>
                <w:sz w:val="20"/>
                <w:szCs w:val="20"/>
              </w:rPr>
            </w:pPr>
          </w:p>
        </w:tc>
        <w:tc>
          <w:tcPr>
            <w:tcW w:w="663" w:type="dxa"/>
            <w:shd w:val="clear" w:color="auto" w:fill="auto"/>
            <w:noWrap/>
            <w:vAlign w:val="bottom"/>
            <w:hideMark/>
          </w:tcPr>
          <w:p w14:paraId="465532D4" w14:textId="77777777" w:rsidR="00BD4D02" w:rsidRPr="00BD4D02" w:rsidRDefault="00BD4D02" w:rsidP="00BD4D02">
            <w:pPr>
              <w:rPr>
                <w:sz w:val="20"/>
                <w:szCs w:val="20"/>
              </w:rPr>
            </w:pPr>
          </w:p>
        </w:tc>
        <w:tc>
          <w:tcPr>
            <w:tcW w:w="663" w:type="dxa"/>
            <w:shd w:val="clear" w:color="auto" w:fill="auto"/>
            <w:noWrap/>
            <w:vAlign w:val="bottom"/>
            <w:hideMark/>
          </w:tcPr>
          <w:p w14:paraId="4D8BB838" w14:textId="77777777" w:rsidR="00BD4D02" w:rsidRPr="00BD4D02" w:rsidRDefault="00BD4D02" w:rsidP="00BD4D02">
            <w:pPr>
              <w:rPr>
                <w:sz w:val="20"/>
                <w:szCs w:val="20"/>
              </w:rPr>
            </w:pPr>
          </w:p>
        </w:tc>
        <w:tc>
          <w:tcPr>
            <w:tcW w:w="663" w:type="dxa"/>
            <w:shd w:val="clear" w:color="auto" w:fill="auto"/>
            <w:noWrap/>
            <w:vAlign w:val="bottom"/>
            <w:hideMark/>
          </w:tcPr>
          <w:p w14:paraId="042727F2" w14:textId="77777777" w:rsidR="00BD4D02" w:rsidRPr="00BD4D02" w:rsidRDefault="00BD4D02" w:rsidP="00BD4D02">
            <w:pPr>
              <w:rPr>
                <w:sz w:val="20"/>
                <w:szCs w:val="20"/>
              </w:rPr>
            </w:pPr>
          </w:p>
        </w:tc>
        <w:tc>
          <w:tcPr>
            <w:tcW w:w="663" w:type="dxa"/>
            <w:shd w:val="clear" w:color="auto" w:fill="auto"/>
            <w:noWrap/>
            <w:vAlign w:val="bottom"/>
            <w:hideMark/>
          </w:tcPr>
          <w:p w14:paraId="6D341C18" w14:textId="77777777" w:rsidR="00BD4D02" w:rsidRPr="00BD4D02" w:rsidRDefault="00BD4D02" w:rsidP="00BD4D02">
            <w:pPr>
              <w:rPr>
                <w:sz w:val="20"/>
                <w:szCs w:val="20"/>
              </w:rPr>
            </w:pPr>
          </w:p>
        </w:tc>
        <w:tc>
          <w:tcPr>
            <w:tcW w:w="663" w:type="dxa"/>
            <w:shd w:val="clear" w:color="auto" w:fill="auto"/>
            <w:noWrap/>
            <w:vAlign w:val="bottom"/>
            <w:hideMark/>
          </w:tcPr>
          <w:p w14:paraId="0326B2DE" w14:textId="77777777" w:rsidR="00BD4D02" w:rsidRPr="00BD4D02" w:rsidRDefault="00BD4D02" w:rsidP="00BD4D02">
            <w:pPr>
              <w:rPr>
                <w:sz w:val="20"/>
                <w:szCs w:val="20"/>
              </w:rPr>
            </w:pPr>
          </w:p>
        </w:tc>
        <w:tc>
          <w:tcPr>
            <w:tcW w:w="663" w:type="dxa"/>
            <w:shd w:val="clear" w:color="auto" w:fill="auto"/>
            <w:noWrap/>
            <w:vAlign w:val="bottom"/>
            <w:hideMark/>
          </w:tcPr>
          <w:p w14:paraId="7EA8A2B8" w14:textId="77777777" w:rsidR="00BD4D02" w:rsidRPr="00BD4D02" w:rsidRDefault="00BD4D02" w:rsidP="00BD4D02">
            <w:pPr>
              <w:rPr>
                <w:sz w:val="20"/>
                <w:szCs w:val="20"/>
              </w:rPr>
            </w:pPr>
          </w:p>
        </w:tc>
        <w:tc>
          <w:tcPr>
            <w:tcW w:w="663" w:type="dxa"/>
            <w:shd w:val="clear" w:color="auto" w:fill="auto"/>
            <w:noWrap/>
            <w:vAlign w:val="bottom"/>
            <w:hideMark/>
          </w:tcPr>
          <w:p w14:paraId="26777644"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5000DE34"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4C594004" w14:textId="77777777" w:rsidR="00BD4D02" w:rsidRPr="00BD4D02" w:rsidRDefault="00BD4D02" w:rsidP="00BD4D02">
            <w:pPr>
              <w:rPr>
                <w:sz w:val="20"/>
                <w:szCs w:val="20"/>
              </w:rPr>
            </w:pPr>
          </w:p>
        </w:tc>
        <w:tc>
          <w:tcPr>
            <w:tcW w:w="1180" w:type="dxa"/>
            <w:shd w:val="clear" w:color="auto" w:fill="auto"/>
            <w:noWrap/>
            <w:vAlign w:val="bottom"/>
            <w:hideMark/>
          </w:tcPr>
          <w:p w14:paraId="16F9AC1A"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604D97A4" w14:textId="77777777" w:rsidTr="00050580">
        <w:trPr>
          <w:trHeight w:val="144"/>
        </w:trPr>
        <w:tc>
          <w:tcPr>
            <w:tcW w:w="4500" w:type="dxa"/>
            <w:shd w:val="clear" w:color="auto" w:fill="auto"/>
            <w:noWrap/>
            <w:vAlign w:val="bottom"/>
            <w:hideMark/>
          </w:tcPr>
          <w:p w14:paraId="1ACDFC42"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 xml:space="preserve">Internet - % of Canadians </w:t>
            </w:r>
          </w:p>
        </w:tc>
        <w:tc>
          <w:tcPr>
            <w:tcW w:w="770" w:type="dxa"/>
            <w:shd w:val="clear" w:color="auto" w:fill="auto"/>
            <w:noWrap/>
            <w:vAlign w:val="bottom"/>
            <w:hideMark/>
          </w:tcPr>
          <w:p w14:paraId="6B534099"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73E22F81" w14:textId="77777777" w:rsidR="00BD4D02" w:rsidRPr="00BD4D02" w:rsidRDefault="00BD4D02" w:rsidP="00BD4D02">
            <w:pPr>
              <w:rPr>
                <w:sz w:val="20"/>
                <w:szCs w:val="20"/>
              </w:rPr>
            </w:pPr>
          </w:p>
        </w:tc>
        <w:tc>
          <w:tcPr>
            <w:tcW w:w="663" w:type="dxa"/>
            <w:shd w:val="clear" w:color="auto" w:fill="auto"/>
            <w:noWrap/>
            <w:vAlign w:val="bottom"/>
            <w:hideMark/>
          </w:tcPr>
          <w:p w14:paraId="474566DE" w14:textId="77777777" w:rsidR="00BD4D02" w:rsidRPr="00BD4D02" w:rsidRDefault="00BD4D02" w:rsidP="00BD4D02">
            <w:pPr>
              <w:rPr>
                <w:sz w:val="20"/>
                <w:szCs w:val="20"/>
              </w:rPr>
            </w:pPr>
          </w:p>
        </w:tc>
        <w:tc>
          <w:tcPr>
            <w:tcW w:w="663" w:type="dxa"/>
            <w:shd w:val="clear" w:color="auto" w:fill="auto"/>
            <w:noWrap/>
            <w:vAlign w:val="bottom"/>
            <w:hideMark/>
          </w:tcPr>
          <w:p w14:paraId="4C8827FE" w14:textId="77777777" w:rsidR="00BD4D02" w:rsidRPr="00BD4D02" w:rsidRDefault="00BD4D02" w:rsidP="00BD4D02">
            <w:pPr>
              <w:rPr>
                <w:sz w:val="20"/>
                <w:szCs w:val="20"/>
              </w:rPr>
            </w:pPr>
          </w:p>
        </w:tc>
        <w:tc>
          <w:tcPr>
            <w:tcW w:w="663" w:type="dxa"/>
            <w:shd w:val="clear" w:color="auto" w:fill="auto"/>
            <w:noWrap/>
            <w:vAlign w:val="bottom"/>
            <w:hideMark/>
          </w:tcPr>
          <w:p w14:paraId="1E7310D8" w14:textId="77777777" w:rsidR="00BD4D02" w:rsidRPr="00BD4D02" w:rsidRDefault="00BD4D02" w:rsidP="00BD4D02">
            <w:pPr>
              <w:rPr>
                <w:sz w:val="20"/>
                <w:szCs w:val="20"/>
              </w:rPr>
            </w:pPr>
          </w:p>
        </w:tc>
        <w:tc>
          <w:tcPr>
            <w:tcW w:w="663" w:type="dxa"/>
            <w:shd w:val="clear" w:color="auto" w:fill="auto"/>
            <w:noWrap/>
            <w:vAlign w:val="bottom"/>
            <w:hideMark/>
          </w:tcPr>
          <w:p w14:paraId="3F59F294"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78BBF5DF"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5DD4719B" w14:textId="77777777" w:rsidR="00BD4D02" w:rsidRPr="00BD4D02" w:rsidRDefault="00BD4D02" w:rsidP="00BD4D02">
            <w:pPr>
              <w:rPr>
                <w:sz w:val="20"/>
                <w:szCs w:val="20"/>
              </w:rPr>
            </w:pPr>
          </w:p>
        </w:tc>
        <w:tc>
          <w:tcPr>
            <w:tcW w:w="663" w:type="dxa"/>
            <w:shd w:val="clear" w:color="auto" w:fill="auto"/>
            <w:noWrap/>
            <w:vAlign w:val="bottom"/>
            <w:hideMark/>
          </w:tcPr>
          <w:p w14:paraId="3A17426B" w14:textId="77777777" w:rsidR="00BD4D02" w:rsidRPr="00BD4D02" w:rsidRDefault="00BD4D02" w:rsidP="00BD4D02">
            <w:pPr>
              <w:rPr>
                <w:sz w:val="20"/>
                <w:szCs w:val="20"/>
              </w:rPr>
            </w:pPr>
          </w:p>
        </w:tc>
        <w:tc>
          <w:tcPr>
            <w:tcW w:w="663" w:type="dxa"/>
            <w:shd w:val="clear" w:color="auto" w:fill="auto"/>
            <w:noWrap/>
            <w:vAlign w:val="bottom"/>
            <w:hideMark/>
          </w:tcPr>
          <w:p w14:paraId="295BC70F" w14:textId="77777777" w:rsidR="00BD4D02" w:rsidRPr="00BD4D02" w:rsidRDefault="00BD4D02" w:rsidP="00BD4D02">
            <w:pPr>
              <w:rPr>
                <w:sz w:val="20"/>
                <w:szCs w:val="20"/>
              </w:rPr>
            </w:pPr>
          </w:p>
        </w:tc>
        <w:tc>
          <w:tcPr>
            <w:tcW w:w="663" w:type="dxa"/>
            <w:shd w:val="clear" w:color="auto" w:fill="auto"/>
            <w:noWrap/>
            <w:vAlign w:val="bottom"/>
            <w:hideMark/>
          </w:tcPr>
          <w:p w14:paraId="40F0492A" w14:textId="77777777" w:rsidR="00BD4D02" w:rsidRPr="00BD4D02" w:rsidRDefault="00BD4D02" w:rsidP="00BD4D02">
            <w:pPr>
              <w:rPr>
                <w:sz w:val="20"/>
                <w:szCs w:val="20"/>
              </w:rPr>
            </w:pPr>
          </w:p>
        </w:tc>
        <w:tc>
          <w:tcPr>
            <w:tcW w:w="663" w:type="dxa"/>
            <w:shd w:val="clear" w:color="auto" w:fill="auto"/>
            <w:noWrap/>
            <w:vAlign w:val="bottom"/>
            <w:hideMark/>
          </w:tcPr>
          <w:p w14:paraId="5D33AB5F" w14:textId="77777777" w:rsidR="00BD4D02" w:rsidRPr="00BD4D02" w:rsidRDefault="00BD4D02" w:rsidP="00BD4D02">
            <w:pPr>
              <w:rPr>
                <w:sz w:val="20"/>
                <w:szCs w:val="20"/>
              </w:rPr>
            </w:pPr>
          </w:p>
        </w:tc>
        <w:tc>
          <w:tcPr>
            <w:tcW w:w="1180" w:type="dxa"/>
            <w:shd w:val="clear" w:color="auto" w:fill="auto"/>
            <w:noWrap/>
            <w:vAlign w:val="bottom"/>
            <w:hideMark/>
          </w:tcPr>
          <w:p w14:paraId="2242308F"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451D1A0F" w14:textId="77777777" w:rsidTr="00050580">
        <w:trPr>
          <w:trHeight w:val="144"/>
        </w:trPr>
        <w:tc>
          <w:tcPr>
            <w:tcW w:w="4500" w:type="dxa"/>
            <w:shd w:val="clear" w:color="auto" w:fill="auto"/>
            <w:noWrap/>
            <w:vAlign w:val="bottom"/>
            <w:hideMark/>
          </w:tcPr>
          <w:p w14:paraId="1BBF698A"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Internet - activities</w:t>
            </w:r>
          </w:p>
        </w:tc>
        <w:tc>
          <w:tcPr>
            <w:tcW w:w="770" w:type="dxa"/>
            <w:shd w:val="clear" w:color="auto" w:fill="auto"/>
            <w:noWrap/>
            <w:vAlign w:val="bottom"/>
            <w:hideMark/>
          </w:tcPr>
          <w:p w14:paraId="19408962"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5BE33B8F" w14:textId="77777777" w:rsidR="00BD4D02" w:rsidRPr="00BD4D02" w:rsidRDefault="00BD4D02" w:rsidP="00BD4D02">
            <w:pPr>
              <w:rPr>
                <w:sz w:val="20"/>
                <w:szCs w:val="20"/>
              </w:rPr>
            </w:pPr>
          </w:p>
        </w:tc>
        <w:tc>
          <w:tcPr>
            <w:tcW w:w="663" w:type="dxa"/>
            <w:shd w:val="clear" w:color="auto" w:fill="auto"/>
            <w:noWrap/>
            <w:vAlign w:val="bottom"/>
            <w:hideMark/>
          </w:tcPr>
          <w:p w14:paraId="3770B750" w14:textId="77777777" w:rsidR="00BD4D02" w:rsidRPr="00BD4D02" w:rsidRDefault="00BD4D02" w:rsidP="00BD4D02">
            <w:pPr>
              <w:rPr>
                <w:sz w:val="20"/>
                <w:szCs w:val="20"/>
              </w:rPr>
            </w:pPr>
          </w:p>
        </w:tc>
        <w:tc>
          <w:tcPr>
            <w:tcW w:w="663" w:type="dxa"/>
            <w:shd w:val="clear" w:color="auto" w:fill="auto"/>
            <w:noWrap/>
            <w:vAlign w:val="bottom"/>
            <w:hideMark/>
          </w:tcPr>
          <w:p w14:paraId="7A355425" w14:textId="77777777" w:rsidR="00BD4D02" w:rsidRPr="00BD4D02" w:rsidRDefault="00BD4D02" w:rsidP="00BD4D02">
            <w:pPr>
              <w:rPr>
                <w:sz w:val="20"/>
                <w:szCs w:val="20"/>
              </w:rPr>
            </w:pPr>
          </w:p>
        </w:tc>
        <w:tc>
          <w:tcPr>
            <w:tcW w:w="663" w:type="dxa"/>
            <w:shd w:val="clear" w:color="auto" w:fill="auto"/>
            <w:noWrap/>
            <w:vAlign w:val="bottom"/>
            <w:hideMark/>
          </w:tcPr>
          <w:p w14:paraId="6AEA18B5" w14:textId="77777777" w:rsidR="00BD4D02" w:rsidRPr="00BD4D02" w:rsidRDefault="00BD4D02" w:rsidP="00BD4D02">
            <w:pPr>
              <w:rPr>
                <w:sz w:val="20"/>
                <w:szCs w:val="20"/>
              </w:rPr>
            </w:pPr>
          </w:p>
        </w:tc>
        <w:tc>
          <w:tcPr>
            <w:tcW w:w="663" w:type="dxa"/>
            <w:shd w:val="clear" w:color="auto" w:fill="auto"/>
            <w:noWrap/>
            <w:vAlign w:val="bottom"/>
            <w:hideMark/>
          </w:tcPr>
          <w:p w14:paraId="31C2CEF7"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w:t>
            </w:r>
          </w:p>
        </w:tc>
        <w:tc>
          <w:tcPr>
            <w:tcW w:w="663" w:type="dxa"/>
            <w:shd w:val="clear" w:color="auto" w:fill="auto"/>
            <w:noWrap/>
            <w:vAlign w:val="bottom"/>
            <w:hideMark/>
          </w:tcPr>
          <w:p w14:paraId="198AB346"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790C3A3A"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6522ACF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7E518CB6"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1990294A"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4A8CC96F"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1180" w:type="dxa"/>
            <w:shd w:val="clear" w:color="auto" w:fill="auto"/>
            <w:noWrap/>
            <w:vAlign w:val="bottom"/>
            <w:hideMark/>
          </w:tcPr>
          <w:p w14:paraId="16188117"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15</w:t>
            </w:r>
          </w:p>
        </w:tc>
      </w:tr>
      <w:tr w:rsidR="00BD4D02" w:rsidRPr="00BD4D02" w14:paraId="52CEFCB8" w14:textId="77777777" w:rsidTr="00050580">
        <w:trPr>
          <w:trHeight w:val="144"/>
        </w:trPr>
        <w:tc>
          <w:tcPr>
            <w:tcW w:w="4500" w:type="dxa"/>
            <w:shd w:val="clear" w:color="auto" w:fill="auto"/>
            <w:noWrap/>
            <w:vAlign w:val="bottom"/>
            <w:hideMark/>
          </w:tcPr>
          <w:p w14:paraId="087D8EF7"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Internet - applications - bandwidth</w:t>
            </w:r>
          </w:p>
        </w:tc>
        <w:tc>
          <w:tcPr>
            <w:tcW w:w="770" w:type="dxa"/>
            <w:shd w:val="clear" w:color="auto" w:fill="auto"/>
            <w:noWrap/>
            <w:vAlign w:val="bottom"/>
            <w:hideMark/>
          </w:tcPr>
          <w:p w14:paraId="53E24137"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29ECD09F" w14:textId="77777777" w:rsidR="00BD4D02" w:rsidRPr="00BD4D02" w:rsidRDefault="00BD4D02" w:rsidP="00BD4D02">
            <w:pPr>
              <w:rPr>
                <w:sz w:val="20"/>
                <w:szCs w:val="20"/>
              </w:rPr>
            </w:pPr>
          </w:p>
        </w:tc>
        <w:tc>
          <w:tcPr>
            <w:tcW w:w="663" w:type="dxa"/>
            <w:shd w:val="clear" w:color="auto" w:fill="auto"/>
            <w:noWrap/>
            <w:vAlign w:val="bottom"/>
            <w:hideMark/>
          </w:tcPr>
          <w:p w14:paraId="7D0C1DFA" w14:textId="77777777" w:rsidR="00BD4D02" w:rsidRPr="00BD4D02" w:rsidRDefault="00BD4D02" w:rsidP="00BD4D02">
            <w:pPr>
              <w:rPr>
                <w:sz w:val="20"/>
                <w:szCs w:val="20"/>
              </w:rPr>
            </w:pPr>
          </w:p>
        </w:tc>
        <w:tc>
          <w:tcPr>
            <w:tcW w:w="663" w:type="dxa"/>
            <w:shd w:val="clear" w:color="auto" w:fill="auto"/>
            <w:noWrap/>
            <w:vAlign w:val="bottom"/>
            <w:hideMark/>
          </w:tcPr>
          <w:p w14:paraId="54E70531" w14:textId="77777777" w:rsidR="00BD4D02" w:rsidRPr="00BD4D02" w:rsidRDefault="00BD4D02" w:rsidP="00BD4D02">
            <w:pPr>
              <w:rPr>
                <w:sz w:val="20"/>
                <w:szCs w:val="20"/>
              </w:rPr>
            </w:pPr>
          </w:p>
        </w:tc>
        <w:tc>
          <w:tcPr>
            <w:tcW w:w="663" w:type="dxa"/>
            <w:shd w:val="clear" w:color="auto" w:fill="auto"/>
            <w:noWrap/>
            <w:vAlign w:val="bottom"/>
            <w:hideMark/>
          </w:tcPr>
          <w:p w14:paraId="3DBF0EEE" w14:textId="77777777" w:rsidR="00BD4D02" w:rsidRPr="00BD4D02" w:rsidRDefault="00BD4D02" w:rsidP="00BD4D02">
            <w:pPr>
              <w:rPr>
                <w:sz w:val="20"/>
                <w:szCs w:val="20"/>
              </w:rPr>
            </w:pPr>
          </w:p>
        </w:tc>
        <w:tc>
          <w:tcPr>
            <w:tcW w:w="663" w:type="dxa"/>
            <w:shd w:val="clear" w:color="auto" w:fill="auto"/>
            <w:noWrap/>
            <w:vAlign w:val="bottom"/>
            <w:hideMark/>
          </w:tcPr>
          <w:p w14:paraId="65AC8A0A"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273889B6"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3F07CA0F" w14:textId="77777777" w:rsidR="00BD4D02" w:rsidRPr="00BD4D02" w:rsidRDefault="00BD4D02" w:rsidP="00BD4D02">
            <w:pPr>
              <w:rPr>
                <w:sz w:val="20"/>
                <w:szCs w:val="20"/>
              </w:rPr>
            </w:pPr>
          </w:p>
        </w:tc>
        <w:tc>
          <w:tcPr>
            <w:tcW w:w="663" w:type="dxa"/>
            <w:shd w:val="clear" w:color="auto" w:fill="auto"/>
            <w:noWrap/>
            <w:vAlign w:val="bottom"/>
            <w:hideMark/>
          </w:tcPr>
          <w:p w14:paraId="28DF6B1B" w14:textId="77777777" w:rsidR="00BD4D02" w:rsidRPr="00BD4D02" w:rsidRDefault="00BD4D02" w:rsidP="00BD4D02">
            <w:pPr>
              <w:rPr>
                <w:sz w:val="20"/>
                <w:szCs w:val="20"/>
              </w:rPr>
            </w:pPr>
          </w:p>
        </w:tc>
        <w:tc>
          <w:tcPr>
            <w:tcW w:w="663" w:type="dxa"/>
            <w:shd w:val="clear" w:color="auto" w:fill="auto"/>
            <w:noWrap/>
            <w:vAlign w:val="bottom"/>
            <w:hideMark/>
          </w:tcPr>
          <w:p w14:paraId="1E1CB37E" w14:textId="77777777" w:rsidR="00BD4D02" w:rsidRPr="00BD4D02" w:rsidRDefault="00BD4D02" w:rsidP="00BD4D02">
            <w:pPr>
              <w:rPr>
                <w:sz w:val="20"/>
                <w:szCs w:val="20"/>
              </w:rPr>
            </w:pPr>
          </w:p>
        </w:tc>
        <w:tc>
          <w:tcPr>
            <w:tcW w:w="663" w:type="dxa"/>
            <w:shd w:val="clear" w:color="auto" w:fill="auto"/>
            <w:noWrap/>
            <w:vAlign w:val="bottom"/>
            <w:hideMark/>
          </w:tcPr>
          <w:p w14:paraId="4E1EA397" w14:textId="77777777" w:rsidR="00BD4D02" w:rsidRPr="00BD4D02" w:rsidRDefault="00BD4D02" w:rsidP="00BD4D02">
            <w:pPr>
              <w:rPr>
                <w:sz w:val="20"/>
                <w:szCs w:val="20"/>
              </w:rPr>
            </w:pPr>
          </w:p>
        </w:tc>
        <w:tc>
          <w:tcPr>
            <w:tcW w:w="663" w:type="dxa"/>
            <w:shd w:val="clear" w:color="auto" w:fill="auto"/>
            <w:noWrap/>
            <w:vAlign w:val="bottom"/>
            <w:hideMark/>
          </w:tcPr>
          <w:p w14:paraId="0876C840" w14:textId="77777777" w:rsidR="00BD4D02" w:rsidRPr="00BD4D02" w:rsidRDefault="00BD4D02" w:rsidP="00BD4D02">
            <w:pPr>
              <w:rPr>
                <w:sz w:val="20"/>
                <w:szCs w:val="20"/>
              </w:rPr>
            </w:pPr>
          </w:p>
        </w:tc>
        <w:tc>
          <w:tcPr>
            <w:tcW w:w="1180" w:type="dxa"/>
            <w:shd w:val="clear" w:color="auto" w:fill="auto"/>
            <w:noWrap/>
            <w:vAlign w:val="bottom"/>
            <w:hideMark/>
          </w:tcPr>
          <w:p w14:paraId="4FED0468"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31BE7ABE" w14:textId="77777777" w:rsidTr="00050580">
        <w:trPr>
          <w:trHeight w:val="144"/>
        </w:trPr>
        <w:tc>
          <w:tcPr>
            <w:tcW w:w="4500" w:type="dxa"/>
            <w:shd w:val="clear" w:color="auto" w:fill="auto"/>
            <w:noWrap/>
            <w:vAlign w:val="bottom"/>
            <w:hideMark/>
          </w:tcPr>
          <w:p w14:paraId="69C2111B"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Internet - bandwidth</w:t>
            </w:r>
          </w:p>
        </w:tc>
        <w:tc>
          <w:tcPr>
            <w:tcW w:w="770" w:type="dxa"/>
            <w:shd w:val="clear" w:color="auto" w:fill="auto"/>
            <w:noWrap/>
            <w:vAlign w:val="bottom"/>
            <w:hideMark/>
          </w:tcPr>
          <w:p w14:paraId="55173916"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76F5D9A1" w14:textId="77777777" w:rsidR="00BD4D02" w:rsidRPr="00BD4D02" w:rsidRDefault="00BD4D02" w:rsidP="00BD4D02">
            <w:pPr>
              <w:rPr>
                <w:sz w:val="20"/>
                <w:szCs w:val="20"/>
              </w:rPr>
            </w:pPr>
          </w:p>
        </w:tc>
        <w:tc>
          <w:tcPr>
            <w:tcW w:w="663" w:type="dxa"/>
            <w:shd w:val="clear" w:color="auto" w:fill="auto"/>
            <w:noWrap/>
            <w:vAlign w:val="bottom"/>
            <w:hideMark/>
          </w:tcPr>
          <w:p w14:paraId="50AAF11F" w14:textId="77777777" w:rsidR="00BD4D02" w:rsidRPr="00BD4D02" w:rsidRDefault="00BD4D02" w:rsidP="00BD4D02">
            <w:pPr>
              <w:rPr>
                <w:sz w:val="20"/>
                <w:szCs w:val="20"/>
              </w:rPr>
            </w:pPr>
          </w:p>
        </w:tc>
        <w:tc>
          <w:tcPr>
            <w:tcW w:w="663" w:type="dxa"/>
            <w:shd w:val="clear" w:color="auto" w:fill="auto"/>
            <w:noWrap/>
            <w:vAlign w:val="bottom"/>
            <w:hideMark/>
          </w:tcPr>
          <w:p w14:paraId="48F10103" w14:textId="77777777" w:rsidR="00BD4D02" w:rsidRPr="00BD4D02" w:rsidRDefault="00BD4D02" w:rsidP="00BD4D02">
            <w:pPr>
              <w:rPr>
                <w:sz w:val="20"/>
                <w:szCs w:val="20"/>
              </w:rPr>
            </w:pPr>
          </w:p>
        </w:tc>
        <w:tc>
          <w:tcPr>
            <w:tcW w:w="663" w:type="dxa"/>
            <w:shd w:val="clear" w:color="auto" w:fill="auto"/>
            <w:noWrap/>
            <w:vAlign w:val="bottom"/>
            <w:hideMark/>
          </w:tcPr>
          <w:p w14:paraId="60C0A641" w14:textId="77777777" w:rsidR="00BD4D02" w:rsidRPr="00BD4D02" w:rsidRDefault="00BD4D02" w:rsidP="00BD4D02">
            <w:pPr>
              <w:rPr>
                <w:sz w:val="20"/>
                <w:szCs w:val="20"/>
              </w:rPr>
            </w:pPr>
          </w:p>
        </w:tc>
        <w:tc>
          <w:tcPr>
            <w:tcW w:w="663" w:type="dxa"/>
            <w:shd w:val="clear" w:color="auto" w:fill="auto"/>
            <w:noWrap/>
            <w:vAlign w:val="bottom"/>
            <w:hideMark/>
          </w:tcPr>
          <w:p w14:paraId="59B70778" w14:textId="77777777" w:rsidR="00BD4D02" w:rsidRPr="00BD4D02" w:rsidRDefault="00BD4D02" w:rsidP="00BD4D02">
            <w:pPr>
              <w:rPr>
                <w:sz w:val="20"/>
                <w:szCs w:val="20"/>
              </w:rPr>
            </w:pPr>
          </w:p>
        </w:tc>
        <w:tc>
          <w:tcPr>
            <w:tcW w:w="663" w:type="dxa"/>
            <w:shd w:val="clear" w:color="auto" w:fill="auto"/>
            <w:noWrap/>
            <w:vAlign w:val="bottom"/>
            <w:hideMark/>
          </w:tcPr>
          <w:p w14:paraId="5DA66A19"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54412350"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61F492EC"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7EB53FEC" w14:textId="77777777" w:rsidR="00BD4D02" w:rsidRPr="00BD4D02" w:rsidRDefault="00BD4D02" w:rsidP="00BD4D02">
            <w:pPr>
              <w:rPr>
                <w:sz w:val="20"/>
                <w:szCs w:val="20"/>
              </w:rPr>
            </w:pPr>
          </w:p>
        </w:tc>
        <w:tc>
          <w:tcPr>
            <w:tcW w:w="663" w:type="dxa"/>
            <w:shd w:val="clear" w:color="auto" w:fill="auto"/>
            <w:noWrap/>
            <w:vAlign w:val="bottom"/>
            <w:hideMark/>
          </w:tcPr>
          <w:p w14:paraId="0A6238EC" w14:textId="77777777" w:rsidR="00BD4D02" w:rsidRPr="00BD4D02" w:rsidRDefault="00BD4D02" w:rsidP="00BD4D02">
            <w:pPr>
              <w:rPr>
                <w:sz w:val="20"/>
                <w:szCs w:val="20"/>
              </w:rPr>
            </w:pPr>
          </w:p>
        </w:tc>
        <w:tc>
          <w:tcPr>
            <w:tcW w:w="663" w:type="dxa"/>
            <w:shd w:val="clear" w:color="auto" w:fill="auto"/>
            <w:noWrap/>
            <w:vAlign w:val="bottom"/>
            <w:hideMark/>
          </w:tcPr>
          <w:p w14:paraId="752E76B2" w14:textId="77777777" w:rsidR="00BD4D02" w:rsidRPr="00BD4D02" w:rsidRDefault="00BD4D02" w:rsidP="00BD4D02">
            <w:pPr>
              <w:rPr>
                <w:sz w:val="20"/>
                <w:szCs w:val="20"/>
              </w:rPr>
            </w:pPr>
          </w:p>
        </w:tc>
        <w:tc>
          <w:tcPr>
            <w:tcW w:w="1180" w:type="dxa"/>
            <w:shd w:val="clear" w:color="auto" w:fill="auto"/>
            <w:noWrap/>
            <w:vAlign w:val="bottom"/>
            <w:hideMark/>
          </w:tcPr>
          <w:p w14:paraId="128C7703"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r>
      <w:tr w:rsidR="00BD4D02" w:rsidRPr="00BD4D02" w14:paraId="03563F24" w14:textId="77777777" w:rsidTr="00050580">
        <w:trPr>
          <w:trHeight w:val="144"/>
        </w:trPr>
        <w:tc>
          <w:tcPr>
            <w:tcW w:w="4500" w:type="dxa"/>
            <w:shd w:val="clear" w:color="auto" w:fill="auto"/>
            <w:noWrap/>
            <w:vAlign w:val="bottom"/>
            <w:hideMark/>
          </w:tcPr>
          <w:p w14:paraId="73779DE4"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Internet - residential - subscribers</w:t>
            </w:r>
          </w:p>
        </w:tc>
        <w:tc>
          <w:tcPr>
            <w:tcW w:w="770" w:type="dxa"/>
            <w:shd w:val="clear" w:color="auto" w:fill="auto"/>
            <w:noWrap/>
            <w:vAlign w:val="bottom"/>
            <w:hideMark/>
          </w:tcPr>
          <w:p w14:paraId="4EF12FFC"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15CAAFA4" w14:textId="77777777" w:rsidR="00BD4D02" w:rsidRPr="00BD4D02" w:rsidRDefault="00BD4D02" w:rsidP="00BD4D02">
            <w:pPr>
              <w:rPr>
                <w:sz w:val="20"/>
                <w:szCs w:val="20"/>
              </w:rPr>
            </w:pPr>
          </w:p>
        </w:tc>
        <w:tc>
          <w:tcPr>
            <w:tcW w:w="663" w:type="dxa"/>
            <w:shd w:val="clear" w:color="auto" w:fill="auto"/>
            <w:noWrap/>
            <w:vAlign w:val="bottom"/>
            <w:hideMark/>
          </w:tcPr>
          <w:p w14:paraId="1BC0D8EF" w14:textId="77777777" w:rsidR="00BD4D02" w:rsidRPr="00BD4D02" w:rsidRDefault="00BD4D02" w:rsidP="00BD4D02">
            <w:pPr>
              <w:rPr>
                <w:sz w:val="20"/>
                <w:szCs w:val="20"/>
              </w:rPr>
            </w:pPr>
          </w:p>
        </w:tc>
        <w:tc>
          <w:tcPr>
            <w:tcW w:w="663" w:type="dxa"/>
            <w:shd w:val="clear" w:color="auto" w:fill="auto"/>
            <w:noWrap/>
            <w:vAlign w:val="bottom"/>
            <w:hideMark/>
          </w:tcPr>
          <w:p w14:paraId="504EFEB2" w14:textId="77777777" w:rsidR="00BD4D02" w:rsidRPr="00BD4D02" w:rsidRDefault="00BD4D02" w:rsidP="00BD4D02">
            <w:pPr>
              <w:rPr>
                <w:sz w:val="20"/>
                <w:szCs w:val="20"/>
              </w:rPr>
            </w:pPr>
          </w:p>
        </w:tc>
        <w:tc>
          <w:tcPr>
            <w:tcW w:w="663" w:type="dxa"/>
            <w:shd w:val="clear" w:color="auto" w:fill="auto"/>
            <w:noWrap/>
            <w:vAlign w:val="bottom"/>
            <w:hideMark/>
          </w:tcPr>
          <w:p w14:paraId="018DE383" w14:textId="77777777" w:rsidR="00BD4D02" w:rsidRPr="00BD4D02" w:rsidRDefault="00BD4D02" w:rsidP="00BD4D02">
            <w:pPr>
              <w:rPr>
                <w:sz w:val="20"/>
                <w:szCs w:val="20"/>
              </w:rPr>
            </w:pPr>
          </w:p>
        </w:tc>
        <w:tc>
          <w:tcPr>
            <w:tcW w:w="663" w:type="dxa"/>
            <w:shd w:val="clear" w:color="auto" w:fill="auto"/>
            <w:noWrap/>
            <w:vAlign w:val="bottom"/>
            <w:hideMark/>
          </w:tcPr>
          <w:p w14:paraId="3B5DBAD5" w14:textId="77777777" w:rsidR="00BD4D02" w:rsidRPr="00BD4D02" w:rsidRDefault="00BD4D02" w:rsidP="00BD4D02">
            <w:pPr>
              <w:rPr>
                <w:sz w:val="20"/>
                <w:szCs w:val="20"/>
              </w:rPr>
            </w:pPr>
          </w:p>
        </w:tc>
        <w:tc>
          <w:tcPr>
            <w:tcW w:w="663" w:type="dxa"/>
            <w:shd w:val="clear" w:color="auto" w:fill="auto"/>
            <w:noWrap/>
            <w:vAlign w:val="bottom"/>
            <w:hideMark/>
          </w:tcPr>
          <w:p w14:paraId="15D55799"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348E3BD6"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4F9A3D82"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6B3689FA"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26582F49"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201AD9EA" w14:textId="77777777" w:rsidR="00BD4D02" w:rsidRPr="00BD4D02" w:rsidRDefault="00BD4D02" w:rsidP="00BD4D02">
            <w:pPr>
              <w:rPr>
                <w:sz w:val="20"/>
                <w:szCs w:val="20"/>
              </w:rPr>
            </w:pPr>
          </w:p>
        </w:tc>
        <w:tc>
          <w:tcPr>
            <w:tcW w:w="1180" w:type="dxa"/>
            <w:shd w:val="clear" w:color="auto" w:fill="auto"/>
            <w:noWrap/>
            <w:vAlign w:val="bottom"/>
            <w:hideMark/>
          </w:tcPr>
          <w:p w14:paraId="4126AA0B"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4</w:t>
            </w:r>
          </w:p>
        </w:tc>
      </w:tr>
      <w:tr w:rsidR="00BD4D02" w:rsidRPr="00BD4D02" w14:paraId="243242FC" w14:textId="77777777" w:rsidTr="00050580">
        <w:trPr>
          <w:trHeight w:val="144"/>
        </w:trPr>
        <w:tc>
          <w:tcPr>
            <w:tcW w:w="4500" w:type="dxa"/>
            <w:shd w:val="clear" w:color="auto" w:fill="auto"/>
            <w:noWrap/>
            <w:vAlign w:val="bottom"/>
            <w:hideMark/>
          </w:tcPr>
          <w:p w14:paraId="1EC10512"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Internet TV - devices</w:t>
            </w:r>
          </w:p>
        </w:tc>
        <w:tc>
          <w:tcPr>
            <w:tcW w:w="770" w:type="dxa"/>
            <w:shd w:val="clear" w:color="auto" w:fill="auto"/>
            <w:noWrap/>
            <w:vAlign w:val="bottom"/>
            <w:hideMark/>
          </w:tcPr>
          <w:p w14:paraId="6DEC57D5"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1EF26D7C" w14:textId="77777777" w:rsidR="00BD4D02" w:rsidRPr="00BD4D02" w:rsidRDefault="00BD4D02" w:rsidP="00BD4D02">
            <w:pPr>
              <w:rPr>
                <w:sz w:val="20"/>
                <w:szCs w:val="20"/>
              </w:rPr>
            </w:pPr>
          </w:p>
        </w:tc>
        <w:tc>
          <w:tcPr>
            <w:tcW w:w="663" w:type="dxa"/>
            <w:shd w:val="clear" w:color="auto" w:fill="auto"/>
            <w:noWrap/>
            <w:vAlign w:val="bottom"/>
            <w:hideMark/>
          </w:tcPr>
          <w:p w14:paraId="555EDF20" w14:textId="77777777" w:rsidR="00BD4D02" w:rsidRPr="00BD4D02" w:rsidRDefault="00BD4D02" w:rsidP="00BD4D02">
            <w:pPr>
              <w:rPr>
                <w:sz w:val="20"/>
                <w:szCs w:val="20"/>
              </w:rPr>
            </w:pPr>
          </w:p>
        </w:tc>
        <w:tc>
          <w:tcPr>
            <w:tcW w:w="663" w:type="dxa"/>
            <w:shd w:val="clear" w:color="auto" w:fill="auto"/>
            <w:noWrap/>
            <w:vAlign w:val="bottom"/>
            <w:hideMark/>
          </w:tcPr>
          <w:p w14:paraId="33A2A77E" w14:textId="77777777" w:rsidR="00BD4D02" w:rsidRPr="00BD4D02" w:rsidRDefault="00BD4D02" w:rsidP="00BD4D02">
            <w:pPr>
              <w:rPr>
                <w:sz w:val="20"/>
                <w:szCs w:val="20"/>
              </w:rPr>
            </w:pPr>
          </w:p>
        </w:tc>
        <w:tc>
          <w:tcPr>
            <w:tcW w:w="663" w:type="dxa"/>
            <w:shd w:val="clear" w:color="auto" w:fill="auto"/>
            <w:noWrap/>
            <w:vAlign w:val="bottom"/>
            <w:hideMark/>
          </w:tcPr>
          <w:p w14:paraId="02005096" w14:textId="77777777" w:rsidR="00BD4D02" w:rsidRPr="00BD4D02" w:rsidRDefault="00BD4D02" w:rsidP="00BD4D02">
            <w:pPr>
              <w:rPr>
                <w:sz w:val="20"/>
                <w:szCs w:val="20"/>
              </w:rPr>
            </w:pPr>
          </w:p>
        </w:tc>
        <w:tc>
          <w:tcPr>
            <w:tcW w:w="663" w:type="dxa"/>
            <w:shd w:val="clear" w:color="auto" w:fill="auto"/>
            <w:noWrap/>
            <w:vAlign w:val="bottom"/>
            <w:hideMark/>
          </w:tcPr>
          <w:p w14:paraId="61204CBA"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2F2C6B4B"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561CE00E" w14:textId="77777777" w:rsidR="00BD4D02" w:rsidRPr="00BD4D02" w:rsidRDefault="00BD4D02" w:rsidP="00BD4D02">
            <w:pPr>
              <w:rPr>
                <w:sz w:val="20"/>
                <w:szCs w:val="20"/>
              </w:rPr>
            </w:pPr>
          </w:p>
        </w:tc>
        <w:tc>
          <w:tcPr>
            <w:tcW w:w="663" w:type="dxa"/>
            <w:shd w:val="clear" w:color="auto" w:fill="auto"/>
            <w:noWrap/>
            <w:vAlign w:val="bottom"/>
            <w:hideMark/>
          </w:tcPr>
          <w:p w14:paraId="2CCC61B0" w14:textId="77777777" w:rsidR="00BD4D02" w:rsidRPr="00BD4D02" w:rsidRDefault="00BD4D02" w:rsidP="00BD4D02">
            <w:pPr>
              <w:rPr>
                <w:sz w:val="20"/>
                <w:szCs w:val="20"/>
              </w:rPr>
            </w:pPr>
          </w:p>
        </w:tc>
        <w:tc>
          <w:tcPr>
            <w:tcW w:w="663" w:type="dxa"/>
            <w:shd w:val="clear" w:color="auto" w:fill="auto"/>
            <w:noWrap/>
            <w:vAlign w:val="bottom"/>
            <w:hideMark/>
          </w:tcPr>
          <w:p w14:paraId="37CC664B" w14:textId="77777777" w:rsidR="00BD4D02" w:rsidRPr="00BD4D02" w:rsidRDefault="00BD4D02" w:rsidP="00BD4D02">
            <w:pPr>
              <w:rPr>
                <w:sz w:val="20"/>
                <w:szCs w:val="20"/>
              </w:rPr>
            </w:pPr>
          </w:p>
        </w:tc>
        <w:tc>
          <w:tcPr>
            <w:tcW w:w="663" w:type="dxa"/>
            <w:shd w:val="clear" w:color="auto" w:fill="auto"/>
            <w:noWrap/>
            <w:vAlign w:val="bottom"/>
            <w:hideMark/>
          </w:tcPr>
          <w:p w14:paraId="377D1E6B" w14:textId="77777777" w:rsidR="00BD4D02" w:rsidRPr="00BD4D02" w:rsidRDefault="00BD4D02" w:rsidP="00BD4D02">
            <w:pPr>
              <w:rPr>
                <w:sz w:val="20"/>
                <w:szCs w:val="20"/>
              </w:rPr>
            </w:pPr>
          </w:p>
        </w:tc>
        <w:tc>
          <w:tcPr>
            <w:tcW w:w="663" w:type="dxa"/>
            <w:shd w:val="clear" w:color="auto" w:fill="auto"/>
            <w:noWrap/>
            <w:vAlign w:val="bottom"/>
            <w:hideMark/>
          </w:tcPr>
          <w:p w14:paraId="5604BA2C" w14:textId="77777777" w:rsidR="00BD4D02" w:rsidRPr="00BD4D02" w:rsidRDefault="00BD4D02" w:rsidP="00BD4D02">
            <w:pPr>
              <w:rPr>
                <w:sz w:val="20"/>
                <w:szCs w:val="20"/>
              </w:rPr>
            </w:pPr>
          </w:p>
        </w:tc>
        <w:tc>
          <w:tcPr>
            <w:tcW w:w="1180" w:type="dxa"/>
            <w:shd w:val="clear" w:color="auto" w:fill="auto"/>
            <w:noWrap/>
            <w:vAlign w:val="bottom"/>
            <w:hideMark/>
          </w:tcPr>
          <w:p w14:paraId="0E6718E2"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1A6C6EDB" w14:textId="77777777" w:rsidTr="00050580">
        <w:trPr>
          <w:trHeight w:val="144"/>
        </w:trPr>
        <w:tc>
          <w:tcPr>
            <w:tcW w:w="4500" w:type="dxa"/>
            <w:shd w:val="clear" w:color="auto" w:fill="auto"/>
            <w:noWrap/>
            <w:vAlign w:val="bottom"/>
            <w:hideMark/>
          </w:tcPr>
          <w:p w14:paraId="37408FD2"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Local lines</w:t>
            </w:r>
          </w:p>
        </w:tc>
        <w:tc>
          <w:tcPr>
            <w:tcW w:w="770" w:type="dxa"/>
            <w:shd w:val="clear" w:color="auto" w:fill="auto"/>
            <w:noWrap/>
            <w:vAlign w:val="bottom"/>
            <w:hideMark/>
          </w:tcPr>
          <w:p w14:paraId="42DA2FB3"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4764B9A6" w14:textId="77777777" w:rsidR="00BD4D02" w:rsidRPr="00BD4D02" w:rsidRDefault="00BD4D02" w:rsidP="00BD4D02">
            <w:pPr>
              <w:rPr>
                <w:sz w:val="20"/>
                <w:szCs w:val="20"/>
              </w:rPr>
            </w:pPr>
          </w:p>
        </w:tc>
        <w:tc>
          <w:tcPr>
            <w:tcW w:w="663" w:type="dxa"/>
            <w:shd w:val="clear" w:color="auto" w:fill="auto"/>
            <w:noWrap/>
            <w:vAlign w:val="bottom"/>
            <w:hideMark/>
          </w:tcPr>
          <w:p w14:paraId="7E32E40D" w14:textId="77777777" w:rsidR="00BD4D02" w:rsidRPr="00BD4D02" w:rsidRDefault="00BD4D02" w:rsidP="00BD4D02">
            <w:pPr>
              <w:rPr>
                <w:sz w:val="20"/>
                <w:szCs w:val="20"/>
              </w:rPr>
            </w:pPr>
          </w:p>
        </w:tc>
        <w:tc>
          <w:tcPr>
            <w:tcW w:w="663" w:type="dxa"/>
            <w:shd w:val="clear" w:color="auto" w:fill="auto"/>
            <w:noWrap/>
            <w:vAlign w:val="bottom"/>
            <w:hideMark/>
          </w:tcPr>
          <w:p w14:paraId="0163C342" w14:textId="77777777" w:rsidR="00BD4D02" w:rsidRPr="00BD4D02" w:rsidRDefault="00BD4D02" w:rsidP="00BD4D02">
            <w:pPr>
              <w:rPr>
                <w:sz w:val="20"/>
                <w:szCs w:val="20"/>
              </w:rPr>
            </w:pPr>
          </w:p>
        </w:tc>
        <w:tc>
          <w:tcPr>
            <w:tcW w:w="663" w:type="dxa"/>
            <w:shd w:val="clear" w:color="auto" w:fill="auto"/>
            <w:noWrap/>
            <w:vAlign w:val="bottom"/>
            <w:hideMark/>
          </w:tcPr>
          <w:p w14:paraId="6B466A41" w14:textId="77777777" w:rsidR="00BD4D02" w:rsidRPr="00BD4D02" w:rsidRDefault="00BD4D02" w:rsidP="00BD4D02">
            <w:pPr>
              <w:rPr>
                <w:sz w:val="20"/>
                <w:szCs w:val="20"/>
              </w:rPr>
            </w:pPr>
          </w:p>
        </w:tc>
        <w:tc>
          <w:tcPr>
            <w:tcW w:w="663" w:type="dxa"/>
            <w:shd w:val="clear" w:color="auto" w:fill="auto"/>
            <w:noWrap/>
            <w:vAlign w:val="bottom"/>
            <w:hideMark/>
          </w:tcPr>
          <w:p w14:paraId="0767310F" w14:textId="77777777" w:rsidR="00BD4D02" w:rsidRPr="00BD4D02" w:rsidRDefault="00BD4D02" w:rsidP="00BD4D02">
            <w:pPr>
              <w:rPr>
                <w:sz w:val="20"/>
                <w:szCs w:val="20"/>
              </w:rPr>
            </w:pPr>
          </w:p>
        </w:tc>
        <w:tc>
          <w:tcPr>
            <w:tcW w:w="663" w:type="dxa"/>
            <w:shd w:val="clear" w:color="auto" w:fill="auto"/>
            <w:noWrap/>
            <w:vAlign w:val="bottom"/>
            <w:hideMark/>
          </w:tcPr>
          <w:p w14:paraId="1CD1CB9E" w14:textId="77777777" w:rsidR="00BD4D02" w:rsidRPr="00BD4D02" w:rsidRDefault="00BD4D02" w:rsidP="00BD4D02">
            <w:pPr>
              <w:rPr>
                <w:sz w:val="20"/>
                <w:szCs w:val="20"/>
              </w:rPr>
            </w:pPr>
          </w:p>
        </w:tc>
        <w:tc>
          <w:tcPr>
            <w:tcW w:w="663" w:type="dxa"/>
            <w:shd w:val="clear" w:color="auto" w:fill="auto"/>
            <w:noWrap/>
            <w:vAlign w:val="bottom"/>
            <w:hideMark/>
          </w:tcPr>
          <w:p w14:paraId="377D2498" w14:textId="77777777" w:rsidR="00BD4D02" w:rsidRPr="00BD4D02" w:rsidRDefault="00BD4D02" w:rsidP="00BD4D02">
            <w:pPr>
              <w:rPr>
                <w:sz w:val="20"/>
                <w:szCs w:val="20"/>
              </w:rPr>
            </w:pPr>
          </w:p>
        </w:tc>
        <w:tc>
          <w:tcPr>
            <w:tcW w:w="663" w:type="dxa"/>
            <w:shd w:val="clear" w:color="auto" w:fill="auto"/>
            <w:noWrap/>
            <w:vAlign w:val="bottom"/>
            <w:hideMark/>
          </w:tcPr>
          <w:p w14:paraId="56F1BDE6"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130F02DD"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41ED97C0" w14:textId="77777777" w:rsidR="00BD4D02" w:rsidRPr="00BD4D02" w:rsidRDefault="00BD4D02" w:rsidP="00BD4D02">
            <w:pPr>
              <w:rPr>
                <w:sz w:val="20"/>
                <w:szCs w:val="20"/>
              </w:rPr>
            </w:pPr>
          </w:p>
        </w:tc>
        <w:tc>
          <w:tcPr>
            <w:tcW w:w="663" w:type="dxa"/>
            <w:shd w:val="clear" w:color="auto" w:fill="auto"/>
            <w:noWrap/>
            <w:vAlign w:val="bottom"/>
            <w:hideMark/>
          </w:tcPr>
          <w:p w14:paraId="52E374D2" w14:textId="77777777" w:rsidR="00BD4D02" w:rsidRPr="00BD4D02" w:rsidRDefault="00BD4D02" w:rsidP="00BD4D02">
            <w:pPr>
              <w:rPr>
                <w:sz w:val="20"/>
                <w:szCs w:val="20"/>
              </w:rPr>
            </w:pPr>
          </w:p>
        </w:tc>
        <w:tc>
          <w:tcPr>
            <w:tcW w:w="1180" w:type="dxa"/>
            <w:shd w:val="clear" w:color="auto" w:fill="auto"/>
            <w:noWrap/>
            <w:vAlign w:val="bottom"/>
            <w:hideMark/>
          </w:tcPr>
          <w:p w14:paraId="7B056E7B"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39C34946" w14:textId="77777777" w:rsidTr="00050580">
        <w:trPr>
          <w:trHeight w:val="144"/>
        </w:trPr>
        <w:tc>
          <w:tcPr>
            <w:tcW w:w="4500" w:type="dxa"/>
            <w:shd w:val="clear" w:color="auto" w:fill="auto"/>
            <w:noWrap/>
            <w:vAlign w:val="bottom"/>
            <w:hideMark/>
          </w:tcPr>
          <w:p w14:paraId="4CE578F0"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Mobile and landlines</w:t>
            </w:r>
          </w:p>
        </w:tc>
        <w:tc>
          <w:tcPr>
            <w:tcW w:w="770" w:type="dxa"/>
            <w:shd w:val="clear" w:color="auto" w:fill="auto"/>
            <w:noWrap/>
            <w:vAlign w:val="bottom"/>
            <w:hideMark/>
          </w:tcPr>
          <w:p w14:paraId="1A5D5D91"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0ADB3701" w14:textId="77777777" w:rsidR="00BD4D02" w:rsidRPr="00BD4D02" w:rsidRDefault="00BD4D02" w:rsidP="00BD4D02">
            <w:pPr>
              <w:rPr>
                <w:sz w:val="20"/>
                <w:szCs w:val="20"/>
              </w:rPr>
            </w:pPr>
          </w:p>
        </w:tc>
        <w:tc>
          <w:tcPr>
            <w:tcW w:w="663" w:type="dxa"/>
            <w:shd w:val="clear" w:color="auto" w:fill="auto"/>
            <w:noWrap/>
            <w:vAlign w:val="bottom"/>
            <w:hideMark/>
          </w:tcPr>
          <w:p w14:paraId="16D9E51A" w14:textId="77777777" w:rsidR="00BD4D02" w:rsidRPr="00BD4D02" w:rsidRDefault="00BD4D02" w:rsidP="00BD4D02">
            <w:pPr>
              <w:rPr>
                <w:sz w:val="20"/>
                <w:szCs w:val="20"/>
              </w:rPr>
            </w:pPr>
          </w:p>
        </w:tc>
        <w:tc>
          <w:tcPr>
            <w:tcW w:w="663" w:type="dxa"/>
            <w:shd w:val="clear" w:color="auto" w:fill="auto"/>
            <w:noWrap/>
            <w:vAlign w:val="bottom"/>
            <w:hideMark/>
          </w:tcPr>
          <w:p w14:paraId="4036D1B7" w14:textId="77777777" w:rsidR="00BD4D02" w:rsidRPr="00BD4D02" w:rsidRDefault="00BD4D02" w:rsidP="00BD4D02">
            <w:pPr>
              <w:rPr>
                <w:sz w:val="20"/>
                <w:szCs w:val="20"/>
              </w:rPr>
            </w:pPr>
          </w:p>
        </w:tc>
        <w:tc>
          <w:tcPr>
            <w:tcW w:w="663" w:type="dxa"/>
            <w:shd w:val="clear" w:color="auto" w:fill="auto"/>
            <w:noWrap/>
            <w:vAlign w:val="bottom"/>
            <w:hideMark/>
          </w:tcPr>
          <w:p w14:paraId="121826F6" w14:textId="77777777" w:rsidR="00BD4D02" w:rsidRPr="00BD4D02" w:rsidRDefault="00BD4D02" w:rsidP="00BD4D02">
            <w:pPr>
              <w:rPr>
                <w:sz w:val="20"/>
                <w:szCs w:val="20"/>
              </w:rPr>
            </w:pPr>
          </w:p>
        </w:tc>
        <w:tc>
          <w:tcPr>
            <w:tcW w:w="663" w:type="dxa"/>
            <w:shd w:val="clear" w:color="auto" w:fill="auto"/>
            <w:noWrap/>
            <w:vAlign w:val="bottom"/>
            <w:hideMark/>
          </w:tcPr>
          <w:p w14:paraId="439B57CD" w14:textId="77777777" w:rsidR="00BD4D02" w:rsidRPr="00BD4D02" w:rsidRDefault="00BD4D02" w:rsidP="00BD4D02">
            <w:pPr>
              <w:rPr>
                <w:sz w:val="20"/>
                <w:szCs w:val="20"/>
              </w:rPr>
            </w:pPr>
          </w:p>
        </w:tc>
        <w:tc>
          <w:tcPr>
            <w:tcW w:w="663" w:type="dxa"/>
            <w:shd w:val="clear" w:color="auto" w:fill="auto"/>
            <w:noWrap/>
            <w:vAlign w:val="bottom"/>
            <w:hideMark/>
          </w:tcPr>
          <w:p w14:paraId="3984224C" w14:textId="77777777" w:rsidR="00BD4D02" w:rsidRPr="00BD4D02" w:rsidRDefault="00BD4D02" w:rsidP="00BD4D02">
            <w:pPr>
              <w:rPr>
                <w:sz w:val="20"/>
                <w:szCs w:val="20"/>
              </w:rPr>
            </w:pPr>
          </w:p>
        </w:tc>
        <w:tc>
          <w:tcPr>
            <w:tcW w:w="663" w:type="dxa"/>
            <w:shd w:val="clear" w:color="auto" w:fill="auto"/>
            <w:noWrap/>
            <w:vAlign w:val="bottom"/>
            <w:hideMark/>
          </w:tcPr>
          <w:p w14:paraId="1D249ABF" w14:textId="77777777" w:rsidR="00BD4D02" w:rsidRPr="00BD4D02" w:rsidRDefault="00BD4D02" w:rsidP="00BD4D02">
            <w:pPr>
              <w:rPr>
                <w:sz w:val="20"/>
                <w:szCs w:val="20"/>
              </w:rPr>
            </w:pPr>
          </w:p>
        </w:tc>
        <w:tc>
          <w:tcPr>
            <w:tcW w:w="663" w:type="dxa"/>
            <w:shd w:val="clear" w:color="auto" w:fill="auto"/>
            <w:noWrap/>
            <w:vAlign w:val="bottom"/>
            <w:hideMark/>
          </w:tcPr>
          <w:p w14:paraId="205162C3" w14:textId="77777777" w:rsidR="00BD4D02" w:rsidRPr="00BD4D02" w:rsidRDefault="00BD4D02" w:rsidP="00BD4D02">
            <w:pPr>
              <w:rPr>
                <w:sz w:val="20"/>
                <w:szCs w:val="20"/>
              </w:rPr>
            </w:pPr>
          </w:p>
        </w:tc>
        <w:tc>
          <w:tcPr>
            <w:tcW w:w="663" w:type="dxa"/>
            <w:shd w:val="clear" w:color="auto" w:fill="auto"/>
            <w:noWrap/>
            <w:vAlign w:val="bottom"/>
            <w:hideMark/>
          </w:tcPr>
          <w:p w14:paraId="6D46905B" w14:textId="77777777" w:rsidR="00BD4D02" w:rsidRPr="00BD4D02" w:rsidRDefault="00BD4D02" w:rsidP="00BD4D02">
            <w:pPr>
              <w:rPr>
                <w:sz w:val="20"/>
                <w:szCs w:val="20"/>
              </w:rPr>
            </w:pPr>
          </w:p>
        </w:tc>
        <w:tc>
          <w:tcPr>
            <w:tcW w:w="663" w:type="dxa"/>
            <w:shd w:val="clear" w:color="auto" w:fill="auto"/>
            <w:noWrap/>
            <w:vAlign w:val="bottom"/>
            <w:hideMark/>
          </w:tcPr>
          <w:p w14:paraId="471CD1C5"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37A83CD2"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1180" w:type="dxa"/>
            <w:shd w:val="clear" w:color="auto" w:fill="auto"/>
            <w:noWrap/>
            <w:vAlign w:val="bottom"/>
            <w:hideMark/>
          </w:tcPr>
          <w:p w14:paraId="4C321E5A"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r>
      <w:tr w:rsidR="00BD4D02" w:rsidRPr="00BD4D02" w14:paraId="732E99F6" w14:textId="77777777" w:rsidTr="00050580">
        <w:trPr>
          <w:trHeight w:val="144"/>
        </w:trPr>
        <w:tc>
          <w:tcPr>
            <w:tcW w:w="4500" w:type="dxa"/>
            <w:shd w:val="clear" w:color="auto" w:fill="auto"/>
            <w:noWrap/>
            <w:vAlign w:val="bottom"/>
            <w:hideMark/>
          </w:tcPr>
          <w:p w14:paraId="13DECF76"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Mobile subscriber</w:t>
            </w:r>
          </w:p>
        </w:tc>
        <w:tc>
          <w:tcPr>
            <w:tcW w:w="770" w:type="dxa"/>
            <w:shd w:val="clear" w:color="auto" w:fill="auto"/>
            <w:noWrap/>
            <w:vAlign w:val="bottom"/>
            <w:hideMark/>
          </w:tcPr>
          <w:p w14:paraId="65C98ADA"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7FE0B4BE" w14:textId="77777777" w:rsidR="00BD4D02" w:rsidRPr="00BD4D02" w:rsidRDefault="00BD4D02" w:rsidP="00BD4D02">
            <w:pPr>
              <w:rPr>
                <w:sz w:val="20"/>
                <w:szCs w:val="20"/>
              </w:rPr>
            </w:pPr>
          </w:p>
        </w:tc>
        <w:tc>
          <w:tcPr>
            <w:tcW w:w="663" w:type="dxa"/>
            <w:shd w:val="clear" w:color="auto" w:fill="auto"/>
            <w:noWrap/>
            <w:vAlign w:val="bottom"/>
            <w:hideMark/>
          </w:tcPr>
          <w:p w14:paraId="6A82DE46" w14:textId="77777777" w:rsidR="00BD4D02" w:rsidRPr="00BD4D02" w:rsidRDefault="00BD4D02" w:rsidP="00BD4D02">
            <w:pPr>
              <w:rPr>
                <w:sz w:val="20"/>
                <w:szCs w:val="20"/>
              </w:rPr>
            </w:pPr>
          </w:p>
        </w:tc>
        <w:tc>
          <w:tcPr>
            <w:tcW w:w="663" w:type="dxa"/>
            <w:shd w:val="clear" w:color="auto" w:fill="auto"/>
            <w:noWrap/>
            <w:vAlign w:val="bottom"/>
            <w:hideMark/>
          </w:tcPr>
          <w:p w14:paraId="39960A02" w14:textId="77777777" w:rsidR="00BD4D02" w:rsidRPr="00BD4D02" w:rsidRDefault="00BD4D02" w:rsidP="00BD4D02">
            <w:pPr>
              <w:rPr>
                <w:sz w:val="20"/>
                <w:szCs w:val="20"/>
              </w:rPr>
            </w:pPr>
          </w:p>
        </w:tc>
        <w:tc>
          <w:tcPr>
            <w:tcW w:w="663" w:type="dxa"/>
            <w:shd w:val="clear" w:color="auto" w:fill="auto"/>
            <w:noWrap/>
            <w:vAlign w:val="bottom"/>
            <w:hideMark/>
          </w:tcPr>
          <w:p w14:paraId="4C0ABBC1" w14:textId="77777777" w:rsidR="00BD4D02" w:rsidRPr="00BD4D02" w:rsidRDefault="00BD4D02" w:rsidP="00BD4D02">
            <w:pPr>
              <w:rPr>
                <w:sz w:val="20"/>
                <w:szCs w:val="20"/>
              </w:rPr>
            </w:pPr>
          </w:p>
        </w:tc>
        <w:tc>
          <w:tcPr>
            <w:tcW w:w="663" w:type="dxa"/>
            <w:shd w:val="clear" w:color="auto" w:fill="auto"/>
            <w:noWrap/>
            <w:vAlign w:val="bottom"/>
            <w:hideMark/>
          </w:tcPr>
          <w:p w14:paraId="52D1AA76" w14:textId="77777777" w:rsidR="00BD4D02" w:rsidRPr="00BD4D02" w:rsidRDefault="00BD4D02" w:rsidP="00BD4D02">
            <w:pPr>
              <w:rPr>
                <w:sz w:val="20"/>
                <w:szCs w:val="20"/>
              </w:rPr>
            </w:pPr>
          </w:p>
        </w:tc>
        <w:tc>
          <w:tcPr>
            <w:tcW w:w="663" w:type="dxa"/>
            <w:shd w:val="clear" w:color="auto" w:fill="auto"/>
            <w:noWrap/>
            <w:vAlign w:val="bottom"/>
            <w:hideMark/>
          </w:tcPr>
          <w:p w14:paraId="5085586B" w14:textId="77777777" w:rsidR="00BD4D02" w:rsidRPr="00BD4D02" w:rsidRDefault="00BD4D02" w:rsidP="00BD4D02">
            <w:pPr>
              <w:rPr>
                <w:sz w:val="20"/>
                <w:szCs w:val="20"/>
              </w:rPr>
            </w:pPr>
          </w:p>
        </w:tc>
        <w:tc>
          <w:tcPr>
            <w:tcW w:w="663" w:type="dxa"/>
            <w:shd w:val="clear" w:color="auto" w:fill="auto"/>
            <w:noWrap/>
            <w:vAlign w:val="bottom"/>
            <w:hideMark/>
          </w:tcPr>
          <w:p w14:paraId="269DDBC3"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110487FB"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75E16E3D"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644F13FE" w14:textId="77777777" w:rsidR="00BD4D02" w:rsidRPr="00BD4D02" w:rsidRDefault="00BD4D02" w:rsidP="00BD4D02">
            <w:pPr>
              <w:rPr>
                <w:sz w:val="20"/>
                <w:szCs w:val="20"/>
              </w:rPr>
            </w:pPr>
          </w:p>
        </w:tc>
        <w:tc>
          <w:tcPr>
            <w:tcW w:w="663" w:type="dxa"/>
            <w:shd w:val="clear" w:color="auto" w:fill="auto"/>
            <w:noWrap/>
            <w:vAlign w:val="bottom"/>
            <w:hideMark/>
          </w:tcPr>
          <w:p w14:paraId="48BEDE99" w14:textId="77777777" w:rsidR="00BD4D02" w:rsidRPr="00BD4D02" w:rsidRDefault="00BD4D02" w:rsidP="00BD4D02">
            <w:pPr>
              <w:rPr>
                <w:sz w:val="20"/>
                <w:szCs w:val="20"/>
              </w:rPr>
            </w:pPr>
          </w:p>
        </w:tc>
        <w:tc>
          <w:tcPr>
            <w:tcW w:w="1180" w:type="dxa"/>
            <w:shd w:val="clear" w:color="auto" w:fill="auto"/>
            <w:noWrap/>
            <w:vAlign w:val="bottom"/>
            <w:hideMark/>
          </w:tcPr>
          <w:p w14:paraId="5D6E7FED"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r>
      <w:tr w:rsidR="00BD4D02" w:rsidRPr="00BD4D02" w14:paraId="557F29E5" w14:textId="77777777" w:rsidTr="00050580">
        <w:trPr>
          <w:trHeight w:val="144"/>
        </w:trPr>
        <w:tc>
          <w:tcPr>
            <w:tcW w:w="4500" w:type="dxa"/>
            <w:shd w:val="clear" w:color="auto" w:fill="auto"/>
            <w:noWrap/>
            <w:vAlign w:val="bottom"/>
            <w:hideMark/>
          </w:tcPr>
          <w:p w14:paraId="5DD55DAA"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Music - downloading/streaming</w:t>
            </w:r>
          </w:p>
        </w:tc>
        <w:tc>
          <w:tcPr>
            <w:tcW w:w="770" w:type="dxa"/>
            <w:shd w:val="clear" w:color="auto" w:fill="auto"/>
            <w:noWrap/>
            <w:vAlign w:val="bottom"/>
            <w:hideMark/>
          </w:tcPr>
          <w:p w14:paraId="5D7720CB"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3E31E403" w14:textId="77777777" w:rsidR="00BD4D02" w:rsidRPr="00BD4D02" w:rsidRDefault="00BD4D02" w:rsidP="00BD4D02">
            <w:pPr>
              <w:rPr>
                <w:sz w:val="20"/>
                <w:szCs w:val="20"/>
              </w:rPr>
            </w:pPr>
          </w:p>
        </w:tc>
        <w:tc>
          <w:tcPr>
            <w:tcW w:w="663" w:type="dxa"/>
            <w:shd w:val="clear" w:color="auto" w:fill="auto"/>
            <w:noWrap/>
            <w:vAlign w:val="bottom"/>
            <w:hideMark/>
          </w:tcPr>
          <w:p w14:paraId="1B051FE2" w14:textId="77777777" w:rsidR="00BD4D02" w:rsidRPr="00BD4D02" w:rsidRDefault="00BD4D02" w:rsidP="00BD4D02">
            <w:pPr>
              <w:rPr>
                <w:sz w:val="20"/>
                <w:szCs w:val="20"/>
              </w:rPr>
            </w:pPr>
          </w:p>
        </w:tc>
        <w:tc>
          <w:tcPr>
            <w:tcW w:w="663" w:type="dxa"/>
            <w:shd w:val="clear" w:color="auto" w:fill="auto"/>
            <w:noWrap/>
            <w:vAlign w:val="bottom"/>
            <w:hideMark/>
          </w:tcPr>
          <w:p w14:paraId="2EA4DDF2" w14:textId="77777777" w:rsidR="00BD4D02" w:rsidRPr="00BD4D02" w:rsidRDefault="00BD4D02" w:rsidP="00BD4D02">
            <w:pPr>
              <w:rPr>
                <w:sz w:val="20"/>
                <w:szCs w:val="20"/>
              </w:rPr>
            </w:pPr>
          </w:p>
        </w:tc>
        <w:tc>
          <w:tcPr>
            <w:tcW w:w="663" w:type="dxa"/>
            <w:shd w:val="clear" w:color="auto" w:fill="auto"/>
            <w:noWrap/>
            <w:vAlign w:val="bottom"/>
            <w:hideMark/>
          </w:tcPr>
          <w:p w14:paraId="05E35347" w14:textId="77777777" w:rsidR="00BD4D02" w:rsidRPr="00BD4D02" w:rsidRDefault="00BD4D02" w:rsidP="00BD4D02">
            <w:pPr>
              <w:rPr>
                <w:sz w:val="20"/>
                <w:szCs w:val="20"/>
              </w:rPr>
            </w:pPr>
          </w:p>
        </w:tc>
        <w:tc>
          <w:tcPr>
            <w:tcW w:w="663" w:type="dxa"/>
            <w:shd w:val="clear" w:color="auto" w:fill="auto"/>
            <w:noWrap/>
            <w:vAlign w:val="bottom"/>
            <w:hideMark/>
          </w:tcPr>
          <w:p w14:paraId="7CFE6D68"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47B82BD6"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7F7690B9" w14:textId="77777777" w:rsidR="00BD4D02" w:rsidRPr="00BD4D02" w:rsidRDefault="00BD4D02" w:rsidP="00BD4D02">
            <w:pPr>
              <w:rPr>
                <w:sz w:val="20"/>
                <w:szCs w:val="20"/>
              </w:rPr>
            </w:pPr>
          </w:p>
        </w:tc>
        <w:tc>
          <w:tcPr>
            <w:tcW w:w="663" w:type="dxa"/>
            <w:shd w:val="clear" w:color="auto" w:fill="auto"/>
            <w:noWrap/>
            <w:vAlign w:val="bottom"/>
            <w:hideMark/>
          </w:tcPr>
          <w:p w14:paraId="029AFD33" w14:textId="77777777" w:rsidR="00BD4D02" w:rsidRPr="00BD4D02" w:rsidRDefault="00BD4D02" w:rsidP="00BD4D02">
            <w:pPr>
              <w:rPr>
                <w:sz w:val="20"/>
                <w:szCs w:val="20"/>
              </w:rPr>
            </w:pPr>
          </w:p>
        </w:tc>
        <w:tc>
          <w:tcPr>
            <w:tcW w:w="663" w:type="dxa"/>
            <w:shd w:val="clear" w:color="auto" w:fill="auto"/>
            <w:noWrap/>
            <w:vAlign w:val="bottom"/>
            <w:hideMark/>
          </w:tcPr>
          <w:p w14:paraId="0EF047E6" w14:textId="77777777" w:rsidR="00BD4D02" w:rsidRPr="00BD4D02" w:rsidRDefault="00BD4D02" w:rsidP="00BD4D02">
            <w:pPr>
              <w:rPr>
                <w:sz w:val="20"/>
                <w:szCs w:val="20"/>
              </w:rPr>
            </w:pPr>
          </w:p>
        </w:tc>
        <w:tc>
          <w:tcPr>
            <w:tcW w:w="663" w:type="dxa"/>
            <w:shd w:val="clear" w:color="auto" w:fill="auto"/>
            <w:noWrap/>
            <w:vAlign w:val="bottom"/>
            <w:hideMark/>
          </w:tcPr>
          <w:p w14:paraId="33030924" w14:textId="77777777" w:rsidR="00BD4D02" w:rsidRPr="00BD4D02" w:rsidRDefault="00BD4D02" w:rsidP="00BD4D02">
            <w:pPr>
              <w:rPr>
                <w:sz w:val="20"/>
                <w:szCs w:val="20"/>
              </w:rPr>
            </w:pPr>
          </w:p>
        </w:tc>
        <w:tc>
          <w:tcPr>
            <w:tcW w:w="663" w:type="dxa"/>
            <w:shd w:val="clear" w:color="auto" w:fill="auto"/>
            <w:noWrap/>
            <w:vAlign w:val="bottom"/>
            <w:hideMark/>
          </w:tcPr>
          <w:p w14:paraId="1682789B" w14:textId="77777777" w:rsidR="00BD4D02" w:rsidRPr="00BD4D02" w:rsidRDefault="00BD4D02" w:rsidP="00BD4D02">
            <w:pPr>
              <w:rPr>
                <w:sz w:val="20"/>
                <w:szCs w:val="20"/>
              </w:rPr>
            </w:pPr>
          </w:p>
        </w:tc>
        <w:tc>
          <w:tcPr>
            <w:tcW w:w="1180" w:type="dxa"/>
            <w:shd w:val="clear" w:color="auto" w:fill="auto"/>
            <w:noWrap/>
            <w:vAlign w:val="bottom"/>
            <w:hideMark/>
          </w:tcPr>
          <w:p w14:paraId="26599393"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44F8F74A" w14:textId="77777777" w:rsidTr="00050580">
        <w:trPr>
          <w:trHeight w:val="144"/>
        </w:trPr>
        <w:tc>
          <w:tcPr>
            <w:tcW w:w="4500" w:type="dxa"/>
            <w:shd w:val="clear" w:color="auto" w:fill="auto"/>
            <w:noWrap/>
            <w:vAlign w:val="bottom"/>
            <w:hideMark/>
          </w:tcPr>
          <w:p w14:paraId="0A771893"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Plans - wireless - contract length</w:t>
            </w:r>
          </w:p>
        </w:tc>
        <w:tc>
          <w:tcPr>
            <w:tcW w:w="770" w:type="dxa"/>
            <w:shd w:val="clear" w:color="auto" w:fill="auto"/>
            <w:noWrap/>
            <w:vAlign w:val="bottom"/>
            <w:hideMark/>
          </w:tcPr>
          <w:p w14:paraId="15F685D6"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2D7932B1" w14:textId="77777777" w:rsidR="00BD4D02" w:rsidRPr="00BD4D02" w:rsidRDefault="00BD4D02" w:rsidP="00BD4D02">
            <w:pPr>
              <w:rPr>
                <w:sz w:val="20"/>
                <w:szCs w:val="20"/>
              </w:rPr>
            </w:pPr>
          </w:p>
        </w:tc>
        <w:tc>
          <w:tcPr>
            <w:tcW w:w="663" w:type="dxa"/>
            <w:shd w:val="clear" w:color="auto" w:fill="auto"/>
            <w:noWrap/>
            <w:vAlign w:val="bottom"/>
            <w:hideMark/>
          </w:tcPr>
          <w:p w14:paraId="1D9A82E0" w14:textId="77777777" w:rsidR="00BD4D02" w:rsidRPr="00BD4D02" w:rsidRDefault="00BD4D02" w:rsidP="00BD4D02">
            <w:pPr>
              <w:rPr>
                <w:sz w:val="20"/>
                <w:szCs w:val="20"/>
              </w:rPr>
            </w:pPr>
          </w:p>
        </w:tc>
        <w:tc>
          <w:tcPr>
            <w:tcW w:w="663" w:type="dxa"/>
            <w:shd w:val="clear" w:color="auto" w:fill="auto"/>
            <w:noWrap/>
            <w:vAlign w:val="bottom"/>
            <w:hideMark/>
          </w:tcPr>
          <w:p w14:paraId="4B9B854B" w14:textId="77777777" w:rsidR="00BD4D02" w:rsidRPr="00BD4D02" w:rsidRDefault="00BD4D02" w:rsidP="00BD4D02">
            <w:pPr>
              <w:rPr>
                <w:sz w:val="20"/>
                <w:szCs w:val="20"/>
              </w:rPr>
            </w:pPr>
          </w:p>
        </w:tc>
        <w:tc>
          <w:tcPr>
            <w:tcW w:w="663" w:type="dxa"/>
            <w:shd w:val="clear" w:color="auto" w:fill="auto"/>
            <w:noWrap/>
            <w:vAlign w:val="bottom"/>
            <w:hideMark/>
          </w:tcPr>
          <w:p w14:paraId="285577BF" w14:textId="77777777" w:rsidR="00BD4D02" w:rsidRPr="00BD4D02" w:rsidRDefault="00BD4D02" w:rsidP="00BD4D02">
            <w:pPr>
              <w:rPr>
                <w:sz w:val="20"/>
                <w:szCs w:val="20"/>
              </w:rPr>
            </w:pPr>
          </w:p>
        </w:tc>
        <w:tc>
          <w:tcPr>
            <w:tcW w:w="663" w:type="dxa"/>
            <w:shd w:val="clear" w:color="auto" w:fill="auto"/>
            <w:noWrap/>
            <w:vAlign w:val="bottom"/>
            <w:hideMark/>
          </w:tcPr>
          <w:p w14:paraId="71DFAAA2" w14:textId="77777777" w:rsidR="00BD4D02" w:rsidRPr="00BD4D02" w:rsidRDefault="00BD4D02" w:rsidP="00BD4D02">
            <w:pPr>
              <w:rPr>
                <w:sz w:val="20"/>
                <w:szCs w:val="20"/>
              </w:rPr>
            </w:pPr>
          </w:p>
        </w:tc>
        <w:tc>
          <w:tcPr>
            <w:tcW w:w="663" w:type="dxa"/>
            <w:shd w:val="clear" w:color="auto" w:fill="auto"/>
            <w:noWrap/>
            <w:vAlign w:val="bottom"/>
            <w:hideMark/>
          </w:tcPr>
          <w:p w14:paraId="2CA1F74C"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5C98EE8E"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7204B684"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39DAEC9A"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1EB39329"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6A213CBF" w14:textId="77777777" w:rsidR="00BD4D02" w:rsidRPr="00BD4D02" w:rsidRDefault="00BD4D02" w:rsidP="00BD4D02">
            <w:pPr>
              <w:rPr>
                <w:sz w:val="20"/>
                <w:szCs w:val="20"/>
              </w:rPr>
            </w:pPr>
          </w:p>
        </w:tc>
        <w:tc>
          <w:tcPr>
            <w:tcW w:w="1180" w:type="dxa"/>
            <w:shd w:val="clear" w:color="auto" w:fill="auto"/>
            <w:noWrap/>
            <w:vAlign w:val="bottom"/>
            <w:hideMark/>
          </w:tcPr>
          <w:p w14:paraId="182455B6"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5</w:t>
            </w:r>
          </w:p>
        </w:tc>
      </w:tr>
      <w:tr w:rsidR="00BD4D02" w:rsidRPr="00BD4D02" w14:paraId="2B97746B" w14:textId="77777777" w:rsidTr="00050580">
        <w:trPr>
          <w:trHeight w:val="144"/>
        </w:trPr>
        <w:tc>
          <w:tcPr>
            <w:tcW w:w="4500" w:type="dxa"/>
            <w:shd w:val="clear" w:color="auto" w:fill="auto"/>
            <w:noWrap/>
            <w:vAlign w:val="bottom"/>
            <w:hideMark/>
          </w:tcPr>
          <w:p w14:paraId="1E33B95C"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Product life cycle</w:t>
            </w:r>
          </w:p>
        </w:tc>
        <w:tc>
          <w:tcPr>
            <w:tcW w:w="770" w:type="dxa"/>
            <w:shd w:val="clear" w:color="auto" w:fill="auto"/>
            <w:noWrap/>
            <w:vAlign w:val="bottom"/>
            <w:hideMark/>
          </w:tcPr>
          <w:p w14:paraId="415AD258"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54443E3A" w14:textId="77777777" w:rsidR="00BD4D02" w:rsidRPr="00BD4D02" w:rsidRDefault="00BD4D02" w:rsidP="00BD4D02">
            <w:pPr>
              <w:rPr>
                <w:sz w:val="20"/>
                <w:szCs w:val="20"/>
              </w:rPr>
            </w:pPr>
          </w:p>
        </w:tc>
        <w:tc>
          <w:tcPr>
            <w:tcW w:w="663" w:type="dxa"/>
            <w:shd w:val="clear" w:color="auto" w:fill="auto"/>
            <w:noWrap/>
            <w:vAlign w:val="bottom"/>
            <w:hideMark/>
          </w:tcPr>
          <w:p w14:paraId="5914231E" w14:textId="77777777" w:rsidR="00BD4D02" w:rsidRPr="00BD4D02" w:rsidRDefault="00BD4D02" w:rsidP="00BD4D02">
            <w:pPr>
              <w:rPr>
                <w:sz w:val="20"/>
                <w:szCs w:val="20"/>
              </w:rPr>
            </w:pPr>
          </w:p>
        </w:tc>
        <w:tc>
          <w:tcPr>
            <w:tcW w:w="663" w:type="dxa"/>
            <w:shd w:val="clear" w:color="auto" w:fill="auto"/>
            <w:noWrap/>
            <w:vAlign w:val="bottom"/>
            <w:hideMark/>
          </w:tcPr>
          <w:p w14:paraId="74940CE3" w14:textId="77777777" w:rsidR="00BD4D02" w:rsidRPr="00BD4D02" w:rsidRDefault="00BD4D02" w:rsidP="00BD4D02">
            <w:pPr>
              <w:rPr>
                <w:sz w:val="20"/>
                <w:szCs w:val="20"/>
              </w:rPr>
            </w:pPr>
          </w:p>
        </w:tc>
        <w:tc>
          <w:tcPr>
            <w:tcW w:w="663" w:type="dxa"/>
            <w:shd w:val="clear" w:color="auto" w:fill="auto"/>
            <w:noWrap/>
            <w:vAlign w:val="bottom"/>
            <w:hideMark/>
          </w:tcPr>
          <w:p w14:paraId="6EBF5C3E" w14:textId="77777777" w:rsidR="00BD4D02" w:rsidRPr="00BD4D02" w:rsidRDefault="00BD4D02" w:rsidP="00BD4D02">
            <w:pPr>
              <w:rPr>
                <w:sz w:val="20"/>
                <w:szCs w:val="20"/>
              </w:rPr>
            </w:pPr>
          </w:p>
        </w:tc>
        <w:tc>
          <w:tcPr>
            <w:tcW w:w="663" w:type="dxa"/>
            <w:shd w:val="clear" w:color="auto" w:fill="auto"/>
            <w:noWrap/>
            <w:vAlign w:val="bottom"/>
            <w:hideMark/>
          </w:tcPr>
          <w:p w14:paraId="3E42B96C"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20D04AAA"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71CD1AD8" w14:textId="77777777" w:rsidR="00BD4D02" w:rsidRPr="00BD4D02" w:rsidRDefault="00BD4D02" w:rsidP="00BD4D02">
            <w:pPr>
              <w:rPr>
                <w:sz w:val="20"/>
                <w:szCs w:val="20"/>
              </w:rPr>
            </w:pPr>
          </w:p>
        </w:tc>
        <w:tc>
          <w:tcPr>
            <w:tcW w:w="663" w:type="dxa"/>
            <w:shd w:val="clear" w:color="auto" w:fill="auto"/>
            <w:noWrap/>
            <w:vAlign w:val="bottom"/>
            <w:hideMark/>
          </w:tcPr>
          <w:p w14:paraId="648BCE6C" w14:textId="77777777" w:rsidR="00BD4D02" w:rsidRPr="00BD4D02" w:rsidRDefault="00BD4D02" w:rsidP="00BD4D02">
            <w:pPr>
              <w:rPr>
                <w:sz w:val="20"/>
                <w:szCs w:val="20"/>
              </w:rPr>
            </w:pPr>
          </w:p>
        </w:tc>
        <w:tc>
          <w:tcPr>
            <w:tcW w:w="663" w:type="dxa"/>
            <w:shd w:val="clear" w:color="auto" w:fill="auto"/>
            <w:noWrap/>
            <w:vAlign w:val="bottom"/>
            <w:hideMark/>
          </w:tcPr>
          <w:p w14:paraId="627AEC1C" w14:textId="77777777" w:rsidR="00BD4D02" w:rsidRPr="00BD4D02" w:rsidRDefault="00BD4D02" w:rsidP="00BD4D02">
            <w:pPr>
              <w:rPr>
                <w:sz w:val="20"/>
                <w:szCs w:val="20"/>
              </w:rPr>
            </w:pPr>
          </w:p>
        </w:tc>
        <w:tc>
          <w:tcPr>
            <w:tcW w:w="663" w:type="dxa"/>
            <w:shd w:val="clear" w:color="auto" w:fill="auto"/>
            <w:noWrap/>
            <w:vAlign w:val="bottom"/>
            <w:hideMark/>
          </w:tcPr>
          <w:p w14:paraId="20C0D713" w14:textId="77777777" w:rsidR="00BD4D02" w:rsidRPr="00BD4D02" w:rsidRDefault="00BD4D02" w:rsidP="00BD4D02">
            <w:pPr>
              <w:rPr>
                <w:sz w:val="20"/>
                <w:szCs w:val="20"/>
              </w:rPr>
            </w:pPr>
          </w:p>
        </w:tc>
        <w:tc>
          <w:tcPr>
            <w:tcW w:w="663" w:type="dxa"/>
            <w:shd w:val="clear" w:color="auto" w:fill="auto"/>
            <w:noWrap/>
            <w:vAlign w:val="bottom"/>
            <w:hideMark/>
          </w:tcPr>
          <w:p w14:paraId="2107B2C5" w14:textId="77777777" w:rsidR="00BD4D02" w:rsidRPr="00BD4D02" w:rsidRDefault="00BD4D02" w:rsidP="00BD4D02">
            <w:pPr>
              <w:rPr>
                <w:sz w:val="20"/>
                <w:szCs w:val="20"/>
              </w:rPr>
            </w:pPr>
          </w:p>
        </w:tc>
        <w:tc>
          <w:tcPr>
            <w:tcW w:w="1180" w:type="dxa"/>
            <w:shd w:val="clear" w:color="auto" w:fill="auto"/>
            <w:noWrap/>
            <w:vAlign w:val="bottom"/>
            <w:hideMark/>
          </w:tcPr>
          <w:p w14:paraId="3F61F24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648D1F00" w14:textId="77777777" w:rsidTr="00050580">
        <w:trPr>
          <w:trHeight w:val="144"/>
        </w:trPr>
        <w:tc>
          <w:tcPr>
            <w:tcW w:w="4500" w:type="dxa"/>
            <w:shd w:val="clear" w:color="auto" w:fill="auto"/>
            <w:noWrap/>
            <w:vAlign w:val="bottom"/>
            <w:hideMark/>
          </w:tcPr>
          <w:p w14:paraId="6C59E750"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Radio - podcasts</w:t>
            </w:r>
          </w:p>
        </w:tc>
        <w:tc>
          <w:tcPr>
            <w:tcW w:w="770" w:type="dxa"/>
            <w:shd w:val="clear" w:color="auto" w:fill="auto"/>
            <w:noWrap/>
            <w:vAlign w:val="bottom"/>
            <w:hideMark/>
          </w:tcPr>
          <w:p w14:paraId="500BDBFA"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7202DFA8" w14:textId="77777777" w:rsidR="00BD4D02" w:rsidRPr="00BD4D02" w:rsidRDefault="00BD4D02" w:rsidP="00BD4D02">
            <w:pPr>
              <w:rPr>
                <w:sz w:val="20"/>
                <w:szCs w:val="20"/>
              </w:rPr>
            </w:pPr>
          </w:p>
        </w:tc>
        <w:tc>
          <w:tcPr>
            <w:tcW w:w="663" w:type="dxa"/>
            <w:shd w:val="clear" w:color="auto" w:fill="auto"/>
            <w:noWrap/>
            <w:vAlign w:val="bottom"/>
            <w:hideMark/>
          </w:tcPr>
          <w:p w14:paraId="734B2810" w14:textId="77777777" w:rsidR="00BD4D02" w:rsidRPr="00BD4D02" w:rsidRDefault="00BD4D02" w:rsidP="00BD4D02">
            <w:pPr>
              <w:rPr>
                <w:sz w:val="20"/>
                <w:szCs w:val="20"/>
              </w:rPr>
            </w:pPr>
          </w:p>
        </w:tc>
        <w:tc>
          <w:tcPr>
            <w:tcW w:w="663" w:type="dxa"/>
            <w:shd w:val="clear" w:color="auto" w:fill="auto"/>
            <w:noWrap/>
            <w:vAlign w:val="bottom"/>
            <w:hideMark/>
          </w:tcPr>
          <w:p w14:paraId="254CEDB8" w14:textId="77777777" w:rsidR="00BD4D02" w:rsidRPr="00BD4D02" w:rsidRDefault="00BD4D02" w:rsidP="00BD4D02">
            <w:pPr>
              <w:rPr>
                <w:sz w:val="20"/>
                <w:szCs w:val="20"/>
              </w:rPr>
            </w:pPr>
          </w:p>
        </w:tc>
        <w:tc>
          <w:tcPr>
            <w:tcW w:w="663" w:type="dxa"/>
            <w:shd w:val="clear" w:color="auto" w:fill="auto"/>
            <w:noWrap/>
            <w:vAlign w:val="bottom"/>
            <w:hideMark/>
          </w:tcPr>
          <w:p w14:paraId="134861B8" w14:textId="77777777" w:rsidR="00BD4D02" w:rsidRPr="00BD4D02" w:rsidRDefault="00BD4D02" w:rsidP="00BD4D02">
            <w:pPr>
              <w:rPr>
                <w:sz w:val="20"/>
                <w:szCs w:val="20"/>
              </w:rPr>
            </w:pPr>
          </w:p>
        </w:tc>
        <w:tc>
          <w:tcPr>
            <w:tcW w:w="663" w:type="dxa"/>
            <w:shd w:val="clear" w:color="auto" w:fill="auto"/>
            <w:noWrap/>
            <w:vAlign w:val="bottom"/>
            <w:hideMark/>
          </w:tcPr>
          <w:p w14:paraId="5AD99A52"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69022AC1"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132F2EB1" w14:textId="77777777" w:rsidR="00BD4D02" w:rsidRPr="00BD4D02" w:rsidRDefault="00BD4D02" w:rsidP="00BD4D02">
            <w:pPr>
              <w:rPr>
                <w:sz w:val="20"/>
                <w:szCs w:val="20"/>
              </w:rPr>
            </w:pPr>
          </w:p>
        </w:tc>
        <w:tc>
          <w:tcPr>
            <w:tcW w:w="663" w:type="dxa"/>
            <w:shd w:val="clear" w:color="auto" w:fill="auto"/>
            <w:noWrap/>
            <w:vAlign w:val="bottom"/>
            <w:hideMark/>
          </w:tcPr>
          <w:p w14:paraId="141F0A74" w14:textId="77777777" w:rsidR="00BD4D02" w:rsidRPr="00BD4D02" w:rsidRDefault="00BD4D02" w:rsidP="00BD4D02">
            <w:pPr>
              <w:rPr>
                <w:sz w:val="20"/>
                <w:szCs w:val="20"/>
              </w:rPr>
            </w:pPr>
          </w:p>
        </w:tc>
        <w:tc>
          <w:tcPr>
            <w:tcW w:w="663" w:type="dxa"/>
            <w:shd w:val="clear" w:color="auto" w:fill="auto"/>
            <w:noWrap/>
            <w:vAlign w:val="bottom"/>
            <w:hideMark/>
          </w:tcPr>
          <w:p w14:paraId="05E0C8EE" w14:textId="77777777" w:rsidR="00BD4D02" w:rsidRPr="00BD4D02" w:rsidRDefault="00BD4D02" w:rsidP="00BD4D02">
            <w:pPr>
              <w:rPr>
                <w:sz w:val="20"/>
                <w:szCs w:val="20"/>
              </w:rPr>
            </w:pPr>
          </w:p>
        </w:tc>
        <w:tc>
          <w:tcPr>
            <w:tcW w:w="663" w:type="dxa"/>
            <w:shd w:val="clear" w:color="auto" w:fill="auto"/>
            <w:noWrap/>
            <w:vAlign w:val="bottom"/>
            <w:hideMark/>
          </w:tcPr>
          <w:p w14:paraId="1B88FC33" w14:textId="77777777" w:rsidR="00BD4D02" w:rsidRPr="00BD4D02" w:rsidRDefault="00BD4D02" w:rsidP="00BD4D02">
            <w:pPr>
              <w:rPr>
                <w:sz w:val="20"/>
                <w:szCs w:val="20"/>
              </w:rPr>
            </w:pPr>
          </w:p>
        </w:tc>
        <w:tc>
          <w:tcPr>
            <w:tcW w:w="663" w:type="dxa"/>
            <w:shd w:val="clear" w:color="auto" w:fill="auto"/>
            <w:noWrap/>
            <w:vAlign w:val="bottom"/>
            <w:hideMark/>
          </w:tcPr>
          <w:p w14:paraId="713FEAAB" w14:textId="77777777" w:rsidR="00BD4D02" w:rsidRPr="00BD4D02" w:rsidRDefault="00BD4D02" w:rsidP="00BD4D02">
            <w:pPr>
              <w:rPr>
                <w:sz w:val="20"/>
                <w:szCs w:val="20"/>
              </w:rPr>
            </w:pPr>
          </w:p>
        </w:tc>
        <w:tc>
          <w:tcPr>
            <w:tcW w:w="1180" w:type="dxa"/>
            <w:shd w:val="clear" w:color="auto" w:fill="auto"/>
            <w:noWrap/>
            <w:vAlign w:val="bottom"/>
            <w:hideMark/>
          </w:tcPr>
          <w:p w14:paraId="3C1AA087"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597441BC" w14:textId="77777777" w:rsidTr="00050580">
        <w:trPr>
          <w:trHeight w:val="144"/>
        </w:trPr>
        <w:tc>
          <w:tcPr>
            <w:tcW w:w="4500" w:type="dxa"/>
            <w:shd w:val="clear" w:color="auto" w:fill="auto"/>
            <w:noWrap/>
            <w:vAlign w:val="bottom"/>
            <w:hideMark/>
          </w:tcPr>
          <w:p w14:paraId="14EB398A"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Subscribers/</w:t>
            </w:r>
            <w:proofErr w:type="spellStart"/>
            <w:r w:rsidRPr="00BD4D02">
              <w:rPr>
                <w:rFonts w:ascii="Calibri" w:hAnsi="Calibri" w:cs="Calibri"/>
                <w:color w:val="000000"/>
                <w:sz w:val="20"/>
                <w:szCs w:val="20"/>
              </w:rPr>
              <w:t>subsciptions</w:t>
            </w:r>
            <w:proofErr w:type="spellEnd"/>
          </w:p>
        </w:tc>
        <w:tc>
          <w:tcPr>
            <w:tcW w:w="770" w:type="dxa"/>
            <w:shd w:val="clear" w:color="auto" w:fill="auto"/>
            <w:noWrap/>
            <w:vAlign w:val="bottom"/>
            <w:hideMark/>
          </w:tcPr>
          <w:p w14:paraId="1F0B243F"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6</w:t>
            </w:r>
          </w:p>
        </w:tc>
        <w:tc>
          <w:tcPr>
            <w:tcW w:w="663" w:type="dxa"/>
            <w:shd w:val="clear" w:color="auto" w:fill="auto"/>
            <w:noWrap/>
            <w:vAlign w:val="bottom"/>
            <w:hideMark/>
          </w:tcPr>
          <w:p w14:paraId="097A58CF"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5</w:t>
            </w:r>
          </w:p>
        </w:tc>
        <w:tc>
          <w:tcPr>
            <w:tcW w:w="663" w:type="dxa"/>
            <w:shd w:val="clear" w:color="auto" w:fill="auto"/>
            <w:noWrap/>
            <w:vAlign w:val="bottom"/>
            <w:hideMark/>
          </w:tcPr>
          <w:p w14:paraId="35ADC176"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8</w:t>
            </w:r>
          </w:p>
        </w:tc>
        <w:tc>
          <w:tcPr>
            <w:tcW w:w="663" w:type="dxa"/>
            <w:shd w:val="clear" w:color="auto" w:fill="auto"/>
            <w:noWrap/>
            <w:vAlign w:val="bottom"/>
            <w:hideMark/>
          </w:tcPr>
          <w:p w14:paraId="65E3918C"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9</w:t>
            </w:r>
          </w:p>
        </w:tc>
        <w:tc>
          <w:tcPr>
            <w:tcW w:w="663" w:type="dxa"/>
            <w:shd w:val="clear" w:color="auto" w:fill="auto"/>
            <w:noWrap/>
            <w:vAlign w:val="bottom"/>
            <w:hideMark/>
          </w:tcPr>
          <w:p w14:paraId="6653A536"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11</w:t>
            </w:r>
          </w:p>
        </w:tc>
        <w:tc>
          <w:tcPr>
            <w:tcW w:w="663" w:type="dxa"/>
            <w:shd w:val="clear" w:color="auto" w:fill="auto"/>
            <w:noWrap/>
            <w:vAlign w:val="bottom"/>
            <w:hideMark/>
          </w:tcPr>
          <w:p w14:paraId="31F60466"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14</w:t>
            </w:r>
          </w:p>
        </w:tc>
        <w:tc>
          <w:tcPr>
            <w:tcW w:w="663" w:type="dxa"/>
            <w:shd w:val="clear" w:color="auto" w:fill="auto"/>
            <w:noWrap/>
            <w:vAlign w:val="bottom"/>
            <w:hideMark/>
          </w:tcPr>
          <w:p w14:paraId="46139997"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14</w:t>
            </w:r>
          </w:p>
        </w:tc>
        <w:tc>
          <w:tcPr>
            <w:tcW w:w="663" w:type="dxa"/>
            <w:shd w:val="clear" w:color="auto" w:fill="auto"/>
            <w:noWrap/>
            <w:vAlign w:val="bottom"/>
            <w:hideMark/>
          </w:tcPr>
          <w:p w14:paraId="78F81C34"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15</w:t>
            </w:r>
          </w:p>
        </w:tc>
        <w:tc>
          <w:tcPr>
            <w:tcW w:w="663" w:type="dxa"/>
            <w:shd w:val="clear" w:color="auto" w:fill="auto"/>
            <w:noWrap/>
            <w:vAlign w:val="bottom"/>
            <w:hideMark/>
          </w:tcPr>
          <w:p w14:paraId="615EFBBD"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18</w:t>
            </w:r>
          </w:p>
        </w:tc>
        <w:tc>
          <w:tcPr>
            <w:tcW w:w="663" w:type="dxa"/>
            <w:shd w:val="clear" w:color="auto" w:fill="auto"/>
            <w:noWrap/>
            <w:vAlign w:val="bottom"/>
            <w:hideMark/>
          </w:tcPr>
          <w:p w14:paraId="13EC5D73"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23</w:t>
            </w:r>
          </w:p>
        </w:tc>
        <w:tc>
          <w:tcPr>
            <w:tcW w:w="663" w:type="dxa"/>
            <w:shd w:val="clear" w:color="auto" w:fill="auto"/>
            <w:noWrap/>
            <w:vAlign w:val="bottom"/>
            <w:hideMark/>
          </w:tcPr>
          <w:p w14:paraId="6DC9CBCF"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18</w:t>
            </w:r>
          </w:p>
        </w:tc>
        <w:tc>
          <w:tcPr>
            <w:tcW w:w="663" w:type="dxa"/>
            <w:shd w:val="clear" w:color="auto" w:fill="auto"/>
            <w:noWrap/>
            <w:vAlign w:val="bottom"/>
            <w:hideMark/>
          </w:tcPr>
          <w:p w14:paraId="719CA587"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25</w:t>
            </w:r>
          </w:p>
        </w:tc>
        <w:tc>
          <w:tcPr>
            <w:tcW w:w="1180" w:type="dxa"/>
            <w:shd w:val="clear" w:color="auto" w:fill="auto"/>
            <w:noWrap/>
            <w:vAlign w:val="bottom"/>
            <w:hideMark/>
          </w:tcPr>
          <w:p w14:paraId="21872A73"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166</w:t>
            </w:r>
          </w:p>
        </w:tc>
      </w:tr>
      <w:tr w:rsidR="00BD4D02" w:rsidRPr="00BD4D02" w14:paraId="435EDE24" w14:textId="77777777" w:rsidTr="00050580">
        <w:trPr>
          <w:trHeight w:val="144"/>
        </w:trPr>
        <w:tc>
          <w:tcPr>
            <w:tcW w:w="4500" w:type="dxa"/>
            <w:shd w:val="clear" w:color="auto" w:fill="auto"/>
            <w:noWrap/>
            <w:vAlign w:val="bottom"/>
            <w:hideMark/>
          </w:tcPr>
          <w:p w14:paraId="5C0ABFD5"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Subscriptions - telecom</w:t>
            </w:r>
          </w:p>
        </w:tc>
        <w:tc>
          <w:tcPr>
            <w:tcW w:w="770" w:type="dxa"/>
            <w:shd w:val="clear" w:color="auto" w:fill="auto"/>
            <w:noWrap/>
            <w:vAlign w:val="bottom"/>
            <w:hideMark/>
          </w:tcPr>
          <w:p w14:paraId="236E35DB"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5614E67A" w14:textId="77777777" w:rsidR="00BD4D02" w:rsidRPr="00BD4D02" w:rsidRDefault="00BD4D02" w:rsidP="00BD4D02">
            <w:pPr>
              <w:rPr>
                <w:sz w:val="20"/>
                <w:szCs w:val="20"/>
              </w:rPr>
            </w:pPr>
          </w:p>
        </w:tc>
        <w:tc>
          <w:tcPr>
            <w:tcW w:w="663" w:type="dxa"/>
            <w:shd w:val="clear" w:color="auto" w:fill="auto"/>
            <w:noWrap/>
            <w:vAlign w:val="bottom"/>
            <w:hideMark/>
          </w:tcPr>
          <w:p w14:paraId="7ADAC0F1" w14:textId="77777777" w:rsidR="00BD4D02" w:rsidRPr="00BD4D02" w:rsidRDefault="00BD4D02" w:rsidP="00BD4D02">
            <w:pPr>
              <w:rPr>
                <w:sz w:val="20"/>
                <w:szCs w:val="20"/>
              </w:rPr>
            </w:pPr>
          </w:p>
        </w:tc>
        <w:tc>
          <w:tcPr>
            <w:tcW w:w="663" w:type="dxa"/>
            <w:shd w:val="clear" w:color="auto" w:fill="auto"/>
            <w:noWrap/>
            <w:vAlign w:val="bottom"/>
            <w:hideMark/>
          </w:tcPr>
          <w:p w14:paraId="3528C999" w14:textId="77777777" w:rsidR="00BD4D02" w:rsidRPr="00BD4D02" w:rsidRDefault="00BD4D02" w:rsidP="00BD4D02">
            <w:pPr>
              <w:rPr>
                <w:sz w:val="20"/>
                <w:szCs w:val="20"/>
              </w:rPr>
            </w:pPr>
          </w:p>
        </w:tc>
        <w:tc>
          <w:tcPr>
            <w:tcW w:w="663" w:type="dxa"/>
            <w:shd w:val="clear" w:color="auto" w:fill="auto"/>
            <w:noWrap/>
            <w:vAlign w:val="bottom"/>
            <w:hideMark/>
          </w:tcPr>
          <w:p w14:paraId="78CAC9B8" w14:textId="77777777" w:rsidR="00BD4D02" w:rsidRPr="00BD4D02" w:rsidRDefault="00BD4D02" w:rsidP="00BD4D02">
            <w:pPr>
              <w:rPr>
                <w:sz w:val="20"/>
                <w:szCs w:val="20"/>
              </w:rPr>
            </w:pPr>
          </w:p>
        </w:tc>
        <w:tc>
          <w:tcPr>
            <w:tcW w:w="663" w:type="dxa"/>
            <w:shd w:val="clear" w:color="auto" w:fill="auto"/>
            <w:noWrap/>
            <w:vAlign w:val="bottom"/>
            <w:hideMark/>
          </w:tcPr>
          <w:p w14:paraId="16A9A191" w14:textId="77777777" w:rsidR="00BD4D02" w:rsidRPr="00BD4D02" w:rsidRDefault="00BD4D02" w:rsidP="00BD4D02">
            <w:pPr>
              <w:rPr>
                <w:sz w:val="20"/>
                <w:szCs w:val="20"/>
              </w:rPr>
            </w:pPr>
          </w:p>
        </w:tc>
        <w:tc>
          <w:tcPr>
            <w:tcW w:w="663" w:type="dxa"/>
            <w:shd w:val="clear" w:color="auto" w:fill="auto"/>
            <w:noWrap/>
            <w:vAlign w:val="bottom"/>
            <w:hideMark/>
          </w:tcPr>
          <w:p w14:paraId="04A7E5C3" w14:textId="77777777" w:rsidR="00BD4D02" w:rsidRPr="00BD4D02" w:rsidRDefault="00BD4D02" w:rsidP="00BD4D02">
            <w:pPr>
              <w:rPr>
                <w:sz w:val="20"/>
                <w:szCs w:val="20"/>
              </w:rPr>
            </w:pPr>
          </w:p>
        </w:tc>
        <w:tc>
          <w:tcPr>
            <w:tcW w:w="663" w:type="dxa"/>
            <w:shd w:val="clear" w:color="auto" w:fill="auto"/>
            <w:noWrap/>
            <w:vAlign w:val="bottom"/>
            <w:hideMark/>
          </w:tcPr>
          <w:p w14:paraId="38261227" w14:textId="77777777" w:rsidR="00BD4D02" w:rsidRPr="00BD4D02" w:rsidRDefault="00BD4D02" w:rsidP="00BD4D02">
            <w:pPr>
              <w:rPr>
                <w:sz w:val="20"/>
                <w:szCs w:val="20"/>
              </w:rPr>
            </w:pPr>
          </w:p>
        </w:tc>
        <w:tc>
          <w:tcPr>
            <w:tcW w:w="663" w:type="dxa"/>
            <w:shd w:val="clear" w:color="auto" w:fill="auto"/>
            <w:noWrap/>
            <w:vAlign w:val="bottom"/>
            <w:hideMark/>
          </w:tcPr>
          <w:p w14:paraId="2793315E" w14:textId="77777777" w:rsidR="00BD4D02" w:rsidRPr="00BD4D02" w:rsidRDefault="00BD4D02" w:rsidP="00BD4D02">
            <w:pPr>
              <w:rPr>
                <w:sz w:val="20"/>
                <w:szCs w:val="20"/>
              </w:rPr>
            </w:pPr>
          </w:p>
        </w:tc>
        <w:tc>
          <w:tcPr>
            <w:tcW w:w="663" w:type="dxa"/>
            <w:shd w:val="clear" w:color="auto" w:fill="auto"/>
            <w:noWrap/>
            <w:vAlign w:val="bottom"/>
            <w:hideMark/>
          </w:tcPr>
          <w:p w14:paraId="54D9BCC3" w14:textId="77777777" w:rsidR="00BD4D02" w:rsidRPr="00BD4D02" w:rsidRDefault="00BD4D02" w:rsidP="00BD4D02">
            <w:pPr>
              <w:rPr>
                <w:sz w:val="20"/>
                <w:szCs w:val="20"/>
              </w:rPr>
            </w:pPr>
          </w:p>
        </w:tc>
        <w:tc>
          <w:tcPr>
            <w:tcW w:w="663" w:type="dxa"/>
            <w:shd w:val="clear" w:color="auto" w:fill="auto"/>
            <w:noWrap/>
            <w:vAlign w:val="bottom"/>
            <w:hideMark/>
          </w:tcPr>
          <w:p w14:paraId="402B67F8"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5C407AD8"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1180" w:type="dxa"/>
            <w:shd w:val="clear" w:color="auto" w:fill="auto"/>
            <w:noWrap/>
            <w:vAlign w:val="bottom"/>
            <w:hideMark/>
          </w:tcPr>
          <w:p w14:paraId="30B5A3EF"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w:t>
            </w:r>
          </w:p>
        </w:tc>
      </w:tr>
      <w:tr w:rsidR="00BD4D02" w:rsidRPr="00BD4D02" w14:paraId="191ABEFC" w14:textId="77777777" w:rsidTr="00050580">
        <w:trPr>
          <w:trHeight w:val="144"/>
        </w:trPr>
        <w:tc>
          <w:tcPr>
            <w:tcW w:w="4500" w:type="dxa"/>
            <w:shd w:val="clear" w:color="auto" w:fill="auto"/>
            <w:noWrap/>
            <w:vAlign w:val="bottom"/>
            <w:hideMark/>
          </w:tcPr>
          <w:p w14:paraId="297CEE82"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Technologies - video</w:t>
            </w:r>
          </w:p>
        </w:tc>
        <w:tc>
          <w:tcPr>
            <w:tcW w:w="770" w:type="dxa"/>
            <w:shd w:val="clear" w:color="auto" w:fill="auto"/>
            <w:noWrap/>
            <w:vAlign w:val="bottom"/>
            <w:hideMark/>
          </w:tcPr>
          <w:p w14:paraId="38D6CC7D"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236FBA64" w14:textId="77777777" w:rsidR="00BD4D02" w:rsidRPr="00BD4D02" w:rsidRDefault="00BD4D02" w:rsidP="00BD4D02">
            <w:pPr>
              <w:rPr>
                <w:sz w:val="20"/>
                <w:szCs w:val="20"/>
              </w:rPr>
            </w:pPr>
          </w:p>
        </w:tc>
        <w:tc>
          <w:tcPr>
            <w:tcW w:w="663" w:type="dxa"/>
            <w:shd w:val="clear" w:color="auto" w:fill="auto"/>
            <w:noWrap/>
            <w:vAlign w:val="bottom"/>
            <w:hideMark/>
          </w:tcPr>
          <w:p w14:paraId="104E6626" w14:textId="77777777" w:rsidR="00BD4D02" w:rsidRPr="00BD4D02" w:rsidRDefault="00BD4D02" w:rsidP="00BD4D02">
            <w:pPr>
              <w:rPr>
                <w:sz w:val="20"/>
                <w:szCs w:val="20"/>
              </w:rPr>
            </w:pPr>
          </w:p>
        </w:tc>
        <w:tc>
          <w:tcPr>
            <w:tcW w:w="663" w:type="dxa"/>
            <w:shd w:val="clear" w:color="auto" w:fill="auto"/>
            <w:noWrap/>
            <w:vAlign w:val="bottom"/>
            <w:hideMark/>
          </w:tcPr>
          <w:p w14:paraId="2AB16EC9" w14:textId="77777777" w:rsidR="00BD4D02" w:rsidRPr="00BD4D02" w:rsidRDefault="00BD4D02" w:rsidP="00BD4D02">
            <w:pPr>
              <w:rPr>
                <w:sz w:val="20"/>
                <w:szCs w:val="20"/>
              </w:rPr>
            </w:pPr>
          </w:p>
        </w:tc>
        <w:tc>
          <w:tcPr>
            <w:tcW w:w="663" w:type="dxa"/>
            <w:shd w:val="clear" w:color="auto" w:fill="auto"/>
            <w:noWrap/>
            <w:vAlign w:val="bottom"/>
            <w:hideMark/>
          </w:tcPr>
          <w:p w14:paraId="73F3EA96" w14:textId="77777777" w:rsidR="00BD4D02" w:rsidRPr="00BD4D02" w:rsidRDefault="00BD4D02" w:rsidP="00BD4D02">
            <w:pPr>
              <w:rPr>
                <w:sz w:val="20"/>
                <w:szCs w:val="20"/>
              </w:rPr>
            </w:pPr>
          </w:p>
        </w:tc>
        <w:tc>
          <w:tcPr>
            <w:tcW w:w="663" w:type="dxa"/>
            <w:shd w:val="clear" w:color="auto" w:fill="auto"/>
            <w:noWrap/>
            <w:vAlign w:val="bottom"/>
            <w:hideMark/>
          </w:tcPr>
          <w:p w14:paraId="6F7B66F6"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6C29EFEA"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1FE5CA4A"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4D8E2A1C"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61F25AF9"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2998E464"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697E9350" w14:textId="77777777" w:rsidR="00BD4D02" w:rsidRPr="00BD4D02" w:rsidRDefault="00BD4D02" w:rsidP="00BD4D02">
            <w:pPr>
              <w:rPr>
                <w:sz w:val="20"/>
                <w:szCs w:val="20"/>
              </w:rPr>
            </w:pPr>
          </w:p>
        </w:tc>
        <w:tc>
          <w:tcPr>
            <w:tcW w:w="1180" w:type="dxa"/>
            <w:shd w:val="clear" w:color="auto" w:fill="auto"/>
            <w:noWrap/>
            <w:vAlign w:val="bottom"/>
            <w:hideMark/>
          </w:tcPr>
          <w:p w14:paraId="37E64CBD"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6</w:t>
            </w:r>
          </w:p>
        </w:tc>
      </w:tr>
      <w:tr w:rsidR="00BD4D02" w:rsidRPr="00BD4D02" w14:paraId="3B8E640C" w14:textId="77777777" w:rsidTr="00050580">
        <w:trPr>
          <w:trHeight w:val="144"/>
        </w:trPr>
        <w:tc>
          <w:tcPr>
            <w:tcW w:w="4500" w:type="dxa"/>
            <w:shd w:val="clear" w:color="auto" w:fill="auto"/>
            <w:noWrap/>
            <w:vAlign w:val="bottom"/>
            <w:hideMark/>
          </w:tcPr>
          <w:p w14:paraId="321D9899"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Technology - media</w:t>
            </w:r>
          </w:p>
        </w:tc>
        <w:tc>
          <w:tcPr>
            <w:tcW w:w="770" w:type="dxa"/>
            <w:shd w:val="clear" w:color="auto" w:fill="auto"/>
            <w:noWrap/>
            <w:vAlign w:val="bottom"/>
            <w:hideMark/>
          </w:tcPr>
          <w:p w14:paraId="3473F143"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5EFB5C59" w14:textId="77777777" w:rsidR="00BD4D02" w:rsidRPr="00BD4D02" w:rsidRDefault="00BD4D02" w:rsidP="00BD4D02">
            <w:pPr>
              <w:rPr>
                <w:sz w:val="20"/>
                <w:szCs w:val="20"/>
              </w:rPr>
            </w:pPr>
          </w:p>
        </w:tc>
        <w:tc>
          <w:tcPr>
            <w:tcW w:w="663" w:type="dxa"/>
            <w:shd w:val="clear" w:color="auto" w:fill="auto"/>
            <w:noWrap/>
            <w:vAlign w:val="bottom"/>
            <w:hideMark/>
          </w:tcPr>
          <w:p w14:paraId="6C12A755" w14:textId="77777777" w:rsidR="00BD4D02" w:rsidRPr="00BD4D02" w:rsidRDefault="00BD4D02" w:rsidP="00BD4D02">
            <w:pPr>
              <w:rPr>
                <w:sz w:val="20"/>
                <w:szCs w:val="20"/>
              </w:rPr>
            </w:pPr>
          </w:p>
        </w:tc>
        <w:tc>
          <w:tcPr>
            <w:tcW w:w="663" w:type="dxa"/>
            <w:shd w:val="clear" w:color="auto" w:fill="auto"/>
            <w:noWrap/>
            <w:vAlign w:val="bottom"/>
            <w:hideMark/>
          </w:tcPr>
          <w:p w14:paraId="22AA6264" w14:textId="77777777" w:rsidR="00BD4D02" w:rsidRPr="00BD4D02" w:rsidRDefault="00BD4D02" w:rsidP="00BD4D02">
            <w:pPr>
              <w:rPr>
                <w:sz w:val="20"/>
                <w:szCs w:val="20"/>
              </w:rPr>
            </w:pPr>
          </w:p>
        </w:tc>
        <w:tc>
          <w:tcPr>
            <w:tcW w:w="663" w:type="dxa"/>
            <w:shd w:val="clear" w:color="auto" w:fill="auto"/>
            <w:noWrap/>
            <w:vAlign w:val="bottom"/>
            <w:hideMark/>
          </w:tcPr>
          <w:p w14:paraId="7D8D4933" w14:textId="77777777" w:rsidR="00BD4D02" w:rsidRPr="00BD4D02" w:rsidRDefault="00BD4D02" w:rsidP="00BD4D02">
            <w:pPr>
              <w:rPr>
                <w:sz w:val="20"/>
                <w:szCs w:val="20"/>
              </w:rPr>
            </w:pPr>
          </w:p>
        </w:tc>
        <w:tc>
          <w:tcPr>
            <w:tcW w:w="663" w:type="dxa"/>
            <w:shd w:val="clear" w:color="auto" w:fill="auto"/>
            <w:noWrap/>
            <w:vAlign w:val="bottom"/>
            <w:hideMark/>
          </w:tcPr>
          <w:p w14:paraId="303E368B"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5DBF46A4"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0E05DABF" w14:textId="77777777" w:rsidR="00BD4D02" w:rsidRPr="00BD4D02" w:rsidRDefault="00BD4D02" w:rsidP="00BD4D02">
            <w:pPr>
              <w:rPr>
                <w:sz w:val="20"/>
                <w:szCs w:val="20"/>
              </w:rPr>
            </w:pPr>
          </w:p>
        </w:tc>
        <w:tc>
          <w:tcPr>
            <w:tcW w:w="663" w:type="dxa"/>
            <w:shd w:val="clear" w:color="auto" w:fill="auto"/>
            <w:noWrap/>
            <w:vAlign w:val="bottom"/>
            <w:hideMark/>
          </w:tcPr>
          <w:p w14:paraId="11A58AB6" w14:textId="77777777" w:rsidR="00BD4D02" w:rsidRPr="00BD4D02" w:rsidRDefault="00BD4D02" w:rsidP="00BD4D02">
            <w:pPr>
              <w:rPr>
                <w:sz w:val="20"/>
                <w:szCs w:val="20"/>
              </w:rPr>
            </w:pPr>
          </w:p>
        </w:tc>
        <w:tc>
          <w:tcPr>
            <w:tcW w:w="663" w:type="dxa"/>
            <w:shd w:val="clear" w:color="auto" w:fill="auto"/>
            <w:noWrap/>
            <w:vAlign w:val="bottom"/>
            <w:hideMark/>
          </w:tcPr>
          <w:p w14:paraId="16C719DF" w14:textId="77777777" w:rsidR="00BD4D02" w:rsidRPr="00BD4D02" w:rsidRDefault="00BD4D02" w:rsidP="00BD4D02">
            <w:pPr>
              <w:rPr>
                <w:sz w:val="20"/>
                <w:szCs w:val="20"/>
              </w:rPr>
            </w:pPr>
          </w:p>
        </w:tc>
        <w:tc>
          <w:tcPr>
            <w:tcW w:w="663" w:type="dxa"/>
            <w:shd w:val="clear" w:color="auto" w:fill="auto"/>
            <w:noWrap/>
            <w:vAlign w:val="bottom"/>
            <w:hideMark/>
          </w:tcPr>
          <w:p w14:paraId="6F384ADD" w14:textId="77777777" w:rsidR="00BD4D02" w:rsidRPr="00BD4D02" w:rsidRDefault="00BD4D02" w:rsidP="00BD4D02">
            <w:pPr>
              <w:rPr>
                <w:sz w:val="20"/>
                <w:szCs w:val="20"/>
              </w:rPr>
            </w:pPr>
          </w:p>
        </w:tc>
        <w:tc>
          <w:tcPr>
            <w:tcW w:w="663" w:type="dxa"/>
            <w:shd w:val="clear" w:color="auto" w:fill="auto"/>
            <w:noWrap/>
            <w:vAlign w:val="bottom"/>
            <w:hideMark/>
          </w:tcPr>
          <w:p w14:paraId="5D9CEBBB" w14:textId="77777777" w:rsidR="00BD4D02" w:rsidRPr="00BD4D02" w:rsidRDefault="00BD4D02" w:rsidP="00BD4D02">
            <w:pPr>
              <w:rPr>
                <w:sz w:val="20"/>
                <w:szCs w:val="20"/>
              </w:rPr>
            </w:pPr>
          </w:p>
        </w:tc>
        <w:tc>
          <w:tcPr>
            <w:tcW w:w="1180" w:type="dxa"/>
            <w:shd w:val="clear" w:color="auto" w:fill="auto"/>
            <w:noWrap/>
            <w:vAlign w:val="bottom"/>
            <w:hideMark/>
          </w:tcPr>
          <w:p w14:paraId="680C510E"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42BFB91B" w14:textId="77777777" w:rsidTr="00050580">
        <w:trPr>
          <w:trHeight w:val="144"/>
        </w:trPr>
        <w:tc>
          <w:tcPr>
            <w:tcW w:w="4500" w:type="dxa"/>
            <w:shd w:val="clear" w:color="auto" w:fill="auto"/>
            <w:noWrap/>
            <w:vAlign w:val="bottom"/>
            <w:hideMark/>
          </w:tcPr>
          <w:p w14:paraId="60A0F1A8"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Text messages</w:t>
            </w:r>
          </w:p>
        </w:tc>
        <w:tc>
          <w:tcPr>
            <w:tcW w:w="770" w:type="dxa"/>
            <w:shd w:val="clear" w:color="auto" w:fill="auto"/>
            <w:noWrap/>
            <w:vAlign w:val="bottom"/>
            <w:hideMark/>
          </w:tcPr>
          <w:p w14:paraId="196396F2"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1CA27E62" w14:textId="77777777" w:rsidR="00BD4D02" w:rsidRPr="00BD4D02" w:rsidRDefault="00BD4D02" w:rsidP="00BD4D02">
            <w:pPr>
              <w:rPr>
                <w:sz w:val="20"/>
                <w:szCs w:val="20"/>
              </w:rPr>
            </w:pPr>
          </w:p>
        </w:tc>
        <w:tc>
          <w:tcPr>
            <w:tcW w:w="663" w:type="dxa"/>
            <w:shd w:val="clear" w:color="auto" w:fill="auto"/>
            <w:noWrap/>
            <w:vAlign w:val="bottom"/>
            <w:hideMark/>
          </w:tcPr>
          <w:p w14:paraId="20D73F7C" w14:textId="77777777" w:rsidR="00BD4D02" w:rsidRPr="00BD4D02" w:rsidRDefault="00BD4D02" w:rsidP="00BD4D02">
            <w:pPr>
              <w:rPr>
                <w:sz w:val="20"/>
                <w:szCs w:val="20"/>
              </w:rPr>
            </w:pPr>
          </w:p>
        </w:tc>
        <w:tc>
          <w:tcPr>
            <w:tcW w:w="663" w:type="dxa"/>
            <w:shd w:val="clear" w:color="auto" w:fill="auto"/>
            <w:noWrap/>
            <w:vAlign w:val="bottom"/>
            <w:hideMark/>
          </w:tcPr>
          <w:p w14:paraId="7CAB2F44"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4E413EE2"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3816559E"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4BDF6F5B"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55BFD18C"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3AD6B962"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5A92B00E"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4878DF8E"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60251596" w14:textId="77777777" w:rsidR="00BD4D02" w:rsidRPr="00BD4D02" w:rsidRDefault="00BD4D02" w:rsidP="00BD4D02">
            <w:pPr>
              <w:rPr>
                <w:sz w:val="20"/>
                <w:szCs w:val="20"/>
              </w:rPr>
            </w:pPr>
          </w:p>
        </w:tc>
        <w:tc>
          <w:tcPr>
            <w:tcW w:w="1180" w:type="dxa"/>
            <w:shd w:val="clear" w:color="auto" w:fill="auto"/>
            <w:noWrap/>
            <w:vAlign w:val="bottom"/>
            <w:hideMark/>
          </w:tcPr>
          <w:p w14:paraId="09BA14E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7</w:t>
            </w:r>
          </w:p>
        </w:tc>
      </w:tr>
      <w:tr w:rsidR="00BD4D02" w:rsidRPr="00BD4D02" w14:paraId="0B651BA0" w14:textId="77777777" w:rsidTr="00050580">
        <w:trPr>
          <w:trHeight w:val="144"/>
        </w:trPr>
        <w:tc>
          <w:tcPr>
            <w:tcW w:w="4500" w:type="dxa"/>
            <w:shd w:val="clear" w:color="auto" w:fill="auto"/>
            <w:noWrap/>
            <w:vAlign w:val="bottom"/>
            <w:hideMark/>
          </w:tcPr>
          <w:p w14:paraId="502D1195"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Upload/download limits</w:t>
            </w:r>
          </w:p>
        </w:tc>
        <w:tc>
          <w:tcPr>
            <w:tcW w:w="770" w:type="dxa"/>
            <w:shd w:val="clear" w:color="auto" w:fill="auto"/>
            <w:noWrap/>
            <w:vAlign w:val="bottom"/>
            <w:hideMark/>
          </w:tcPr>
          <w:p w14:paraId="6C08539F"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167CFA71" w14:textId="77777777" w:rsidR="00BD4D02" w:rsidRPr="00BD4D02" w:rsidRDefault="00BD4D02" w:rsidP="00BD4D02">
            <w:pPr>
              <w:rPr>
                <w:sz w:val="20"/>
                <w:szCs w:val="20"/>
              </w:rPr>
            </w:pPr>
          </w:p>
        </w:tc>
        <w:tc>
          <w:tcPr>
            <w:tcW w:w="663" w:type="dxa"/>
            <w:shd w:val="clear" w:color="auto" w:fill="auto"/>
            <w:noWrap/>
            <w:vAlign w:val="bottom"/>
            <w:hideMark/>
          </w:tcPr>
          <w:p w14:paraId="53A0884F" w14:textId="77777777" w:rsidR="00BD4D02" w:rsidRPr="00BD4D02" w:rsidRDefault="00BD4D02" w:rsidP="00BD4D02">
            <w:pPr>
              <w:rPr>
                <w:sz w:val="20"/>
                <w:szCs w:val="20"/>
              </w:rPr>
            </w:pPr>
          </w:p>
        </w:tc>
        <w:tc>
          <w:tcPr>
            <w:tcW w:w="663" w:type="dxa"/>
            <w:shd w:val="clear" w:color="auto" w:fill="auto"/>
            <w:noWrap/>
            <w:vAlign w:val="bottom"/>
            <w:hideMark/>
          </w:tcPr>
          <w:p w14:paraId="509A0E92" w14:textId="77777777" w:rsidR="00BD4D02" w:rsidRPr="00BD4D02" w:rsidRDefault="00BD4D02" w:rsidP="00BD4D02">
            <w:pPr>
              <w:rPr>
                <w:sz w:val="20"/>
                <w:szCs w:val="20"/>
              </w:rPr>
            </w:pPr>
          </w:p>
        </w:tc>
        <w:tc>
          <w:tcPr>
            <w:tcW w:w="663" w:type="dxa"/>
            <w:shd w:val="clear" w:color="auto" w:fill="auto"/>
            <w:noWrap/>
            <w:vAlign w:val="bottom"/>
            <w:hideMark/>
          </w:tcPr>
          <w:p w14:paraId="412DE901" w14:textId="77777777" w:rsidR="00BD4D02" w:rsidRPr="00BD4D02" w:rsidRDefault="00BD4D02" w:rsidP="00BD4D02">
            <w:pPr>
              <w:rPr>
                <w:sz w:val="20"/>
                <w:szCs w:val="20"/>
              </w:rPr>
            </w:pPr>
          </w:p>
        </w:tc>
        <w:tc>
          <w:tcPr>
            <w:tcW w:w="663" w:type="dxa"/>
            <w:shd w:val="clear" w:color="auto" w:fill="auto"/>
            <w:noWrap/>
            <w:vAlign w:val="bottom"/>
            <w:hideMark/>
          </w:tcPr>
          <w:p w14:paraId="1950AFC5" w14:textId="77777777" w:rsidR="00BD4D02" w:rsidRPr="00BD4D02" w:rsidRDefault="00BD4D02" w:rsidP="00BD4D02">
            <w:pPr>
              <w:rPr>
                <w:sz w:val="20"/>
                <w:szCs w:val="20"/>
              </w:rPr>
            </w:pPr>
          </w:p>
        </w:tc>
        <w:tc>
          <w:tcPr>
            <w:tcW w:w="663" w:type="dxa"/>
            <w:shd w:val="clear" w:color="auto" w:fill="auto"/>
            <w:noWrap/>
            <w:vAlign w:val="bottom"/>
            <w:hideMark/>
          </w:tcPr>
          <w:p w14:paraId="4773DB54"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42B1F949"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40B54235"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04B9B92F"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6401EFF4"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395F401A" w14:textId="77777777" w:rsidR="00BD4D02" w:rsidRPr="00BD4D02" w:rsidRDefault="00BD4D02" w:rsidP="00BD4D02">
            <w:pPr>
              <w:rPr>
                <w:sz w:val="20"/>
                <w:szCs w:val="20"/>
              </w:rPr>
            </w:pPr>
          </w:p>
        </w:tc>
        <w:tc>
          <w:tcPr>
            <w:tcW w:w="1180" w:type="dxa"/>
            <w:shd w:val="clear" w:color="auto" w:fill="auto"/>
            <w:noWrap/>
            <w:vAlign w:val="bottom"/>
            <w:hideMark/>
          </w:tcPr>
          <w:p w14:paraId="162B04D5"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4</w:t>
            </w:r>
          </w:p>
        </w:tc>
      </w:tr>
      <w:tr w:rsidR="00BD4D02" w:rsidRPr="00BD4D02" w14:paraId="7BEB2D29" w14:textId="77777777" w:rsidTr="00050580">
        <w:trPr>
          <w:trHeight w:val="144"/>
        </w:trPr>
        <w:tc>
          <w:tcPr>
            <w:tcW w:w="4500" w:type="dxa"/>
            <w:shd w:val="clear" w:color="auto" w:fill="auto"/>
            <w:noWrap/>
            <w:vAlign w:val="bottom"/>
            <w:hideMark/>
          </w:tcPr>
          <w:p w14:paraId="40E17E19" w14:textId="77777777" w:rsidR="00BD4D02" w:rsidRPr="00BD4D02" w:rsidRDefault="00BD4D02" w:rsidP="00BD4D02">
            <w:pPr>
              <w:ind w:firstLineChars="100" w:firstLine="201"/>
              <w:rPr>
                <w:rFonts w:ascii="Calibri" w:hAnsi="Calibri" w:cs="Calibri"/>
                <w:b/>
                <w:bCs/>
                <w:color w:val="000000"/>
                <w:sz w:val="20"/>
                <w:szCs w:val="20"/>
              </w:rPr>
            </w:pPr>
            <w:r w:rsidRPr="00BD4D02">
              <w:rPr>
                <w:rFonts w:ascii="Calibri" w:hAnsi="Calibri" w:cs="Calibri"/>
                <w:b/>
                <w:bCs/>
                <w:color w:val="000000"/>
                <w:sz w:val="20"/>
                <w:szCs w:val="20"/>
              </w:rPr>
              <w:t>Investment</w:t>
            </w:r>
          </w:p>
        </w:tc>
        <w:tc>
          <w:tcPr>
            <w:tcW w:w="770" w:type="dxa"/>
            <w:shd w:val="clear" w:color="auto" w:fill="auto"/>
            <w:noWrap/>
            <w:vAlign w:val="bottom"/>
            <w:hideMark/>
          </w:tcPr>
          <w:p w14:paraId="25AF6F08" w14:textId="77777777" w:rsidR="00BD4D02" w:rsidRPr="00BD4D02" w:rsidRDefault="00BD4D02" w:rsidP="00BD4D02">
            <w:pPr>
              <w:ind w:firstLineChars="100" w:firstLine="201"/>
              <w:rPr>
                <w:rFonts w:ascii="Calibri" w:hAnsi="Calibri" w:cs="Calibri"/>
                <w:b/>
                <w:bCs/>
                <w:color w:val="000000"/>
                <w:sz w:val="20"/>
                <w:szCs w:val="20"/>
              </w:rPr>
            </w:pPr>
          </w:p>
        </w:tc>
        <w:tc>
          <w:tcPr>
            <w:tcW w:w="663" w:type="dxa"/>
            <w:shd w:val="clear" w:color="auto" w:fill="auto"/>
            <w:noWrap/>
            <w:vAlign w:val="bottom"/>
            <w:hideMark/>
          </w:tcPr>
          <w:p w14:paraId="5643599A" w14:textId="77777777" w:rsidR="00BD4D02" w:rsidRPr="00BD4D02" w:rsidRDefault="00BD4D02" w:rsidP="00BD4D02">
            <w:pPr>
              <w:rPr>
                <w:sz w:val="20"/>
                <w:szCs w:val="20"/>
              </w:rPr>
            </w:pPr>
          </w:p>
        </w:tc>
        <w:tc>
          <w:tcPr>
            <w:tcW w:w="663" w:type="dxa"/>
            <w:shd w:val="clear" w:color="auto" w:fill="auto"/>
            <w:noWrap/>
            <w:vAlign w:val="bottom"/>
            <w:hideMark/>
          </w:tcPr>
          <w:p w14:paraId="70D13EA9" w14:textId="77777777" w:rsidR="00BD4D02" w:rsidRPr="00BD4D02" w:rsidRDefault="00BD4D02" w:rsidP="00BD4D02">
            <w:pPr>
              <w:rPr>
                <w:sz w:val="20"/>
                <w:szCs w:val="20"/>
              </w:rPr>
            </w:pPr>
          </w:p>
        </w:tc>
        <w:tc>
          <w:tcPr>
            <w:tcW w:w="663" w:type="dxa"/>
            <w:shd w:val="clear" w:color="auto" w:fill="auto"/>
            <w:noWrap/>
            <w:vAlign w:val="bottom"/>
            <w:hideMark/>
          </w:tcPr>
          <w:p w14:paraId="265DD1CE" w14:textId="77777777" w:rsidR="00BD4D02" w:rsidRPr="00BD4D02" w:rsidRDefault="00BD4D02" w:rsidP="00BD4D02">
            <w:pPr>
              <w:rPr>
                <w:sz w:val="20"/>
                <w:szCs w:val="20"/>
              </w:rPr>
            </w:pPr>
          </w:p>
        </w:tc>
        <w:tc>
          <w:tcPr>
            <w:tcW w:w="663" w:type="dxa"/>
            <w:shd w:val="clear" w:color="auto" w:fill="auto"/>
            <w:noWrap/>
            <w:vAlign w:val="bottom"/>
            <w:hideMark/>
          </w:tcPr>
          <w:p w14:paraId="7846A1C7" w14:textId="77777777" w:rsidR="00BD4D02" w:rsidRPr="00BD4D02" w:rsidRDefault="00BD4D02" w:rsidP="00BD4D02">
            <w:pPr>
              <w:rPr>
                <w:sz w:val="20"/>
                <w:szCs w:val="20"/>
              </w:rPr>
            </w:pPr>
          </w:p>
        </w:tc>
        <w:tc>
          <w:tcPr>
            <w:tcW w:w="663" w:type="dxa"/>
            <w:shd w:val="clear" w:color="auto" w:fill="auto"/>
            <w:noWrap/>
            <w:vAlign w:val="bottom"/>
            <w:hideMark/>
          </w:tcPr>
          <w:p w14:paraId="48B9363F" w14:textId="77777777" w:rsidR="00BD4D02" w:rsidRPr="00BD4D02" w:rsidRDefault="00BD4D02" w:rsidP="00BD4D02">
            <w:pPr>
              <w:rPr>
                <w:sz w:val="20"/>
                <w:szCs w:val="20"/>
              </w:rPr>
            </w:pPr>
          </w:p>
        </w:tc>
        <w:tc>
          <w:tcPr>
            <w:tcW w:w="663" w:type="dxa"/>
            <w:shd w:val="clear" w:color="auto" w:fill="auto"/>
            <w:noWrap/>
            <w:vAlign w:val="bottom"/>
            <w:hideMark/>
          </w:tcPr>
          <w:p w14:paraId="0462D88C" w14:textId="77777777" w:rsidR="00BD4D02" w:rsidRPr="00BD4D02" w:rsidRDefault="00BD4D02" w:rsidP="00BD4D02">
            <w:pPr>
              <w:rPr>
                <w:sz w:val="20"/>
                <w:szCs w:val="20"/>
              </w:rPr>
            </w:pPr>
          </w:p>
        </w:tc>
        <w:tc>
          <w:tcPr>
            <w:tcW w:w="663" w:type="dxa"/>
            <w:shd w:val="clear" w:color="auto" w:fill="auto"/>
            <w:noWrap/>
            <w:vAlign w:val="bottom"/>
            <w:hideMark/>
          </w:tcPr>
          <w:p w14:paraId="5F1A152D" w14:textId="77777777" w:rsidR="00BD4D02" w:rsidRPr="00BD4D02" w:rsidRDefault="00BD4D02" w:rsidP="00BD4D02">
            <w:pPr>
              <w:rPr>
                <w:sz w:val="20"/>
                <w:szCs w:val="20"/>
              </w:rPr>
            </w:pPr>
          </w:p>
        </w:tc>
        <w:tc>
          <w:tcPr>
            <w:tcW w:w="663" w:type="dxa"/>
            <w:shd w:val="clear" w:color="auto" w:fill="auto"/>
            <w:noWrap/>
            <w:vAlign w:val="bottom"/>
            <w:hideMark/>
          </w:tcPr>
          <w:p w14:paraId="06AB4089" w14:textId="77777777" w:rsidR="00BD4D02" w:rsidRPr="00BD4D02" w:rsidRDefault="00BD4D02" w:rsidP="00BD4D02">
            <w:pPr>
              <w:rPr>
                <w:sz w:val="20"/>
                <w:szCs w:val="20"/>
              </w:rPr>
            </w:pPr>
          </w:p>
        </w:tc>
        <w:tc>
          <w:tcPr>
            <w:tcW w:w="663" w:type="dxa"/>
            <w:shd w:val="clear" w:color="auto" w:fill="auto"/>
            <w:noWrap/>
            <w:vAlign w:val="bottom"/>
            <w:hideMark/>
          </w:tcPr>
          <w:p w14:paraId="72D76B6F" w14:textId="77777777" w:rsidR="00BD4D02" w:rsidRPr="00BD4D02" w:rsidRDefault="00BD4D02" w:rsidP="00BD4D02">
            <w:pPr>
              <w:rPr>
                <w:sz w:val="20"/>
                <w:szCs w:val="20"/>
              </w:rPr>
            </w:pPr>
          </w:p>
        </w:tc>
        <w:tc>
          <w:tcPr>
            <w:tcW w:w="663" w:type="dxa"/>
            <w:shd w:val="clear" w:color="auto" w:fill="auto"/>
            <w:noWrap/>
            <w:vAlign w:val="bottom"/>
            <w:hideMark/>
          </w:tcPr>
          <w:p w14:paraId="4D416CD9"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w:t>
            </w:r>
          </w:p>
        </w:tc>
        <w:tc>
          <w:tcPr>
            <w:tcW w:w="663" w:type="dxa"/>
            <w:shd w:val="clear" w:color="auto" w:fill="auto"/>
            <w:noWrap/>
            <w:vAlign w:val="bottom"/>
            <w:hideMark/>
          </w:tcPr>
          <w:p w14:paraId="61F98D7B"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w:t>
            </w:r>
          </w:p>
        </w:tc>
        <w:tc>
          <w:tcPr>
            <w:tcW w:w="1180" w:type="dxa"/>
            <w:shd w:val="clear" w:color="auto" w:fill="auto"/>
            <w:noWrap/>
            <w:vAlign w:val="bottom"/>
            <w:hideMark/>
          </w:tcPr>
          <w:p w14:paraId="3DB5A0EB"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2</w:t>
            </w:r>
          </w:p>
        </w:tc>
      </w:tr>
      <w:tr w:rsidR="00BD4D02" w:rsidRPr="00BD4D02" w14:paraId="307D704D" w14:textId="77777777" w:rsidTr="00050580">
        <w:trPr>
          <w:trHeight w:val="144"/>
        </w:trPr>
        <w:tc>
          <w:tcPr>
            <w:tcW w:w="4500" w:type="dxa"/>
            <w:shd w:val="clear" w:color="auto" w:fill="auto"/>
            <w:noWrap/>
            <w:vAlign w:val="bottom"/>
            <w:hideMark/>
          </w:tcPr>
          <w:p w14:paraId="08307D47"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Capital expenditure</w:t>
            </w:r>
          </w:p>
        </w:tc>
        <w:tc>
          <w:tcPr>
            <w:tcW w:w="770" w:type="dxa"/>
            <w:shd w:val="clear" w:color="auto" w:fill="auto"/>
            <w:noWrap/>
            <w:vAlign w:val="bottom"/>
            <w:hideMark/>
          </w:tcPr>
          <w:p w14:paraId="4742B82D"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65A076B4" w14:textId="77777777" w:rsidR="00BD4D02" w:rsidRPr="00BD4D02" w:rsidRDefault="00BD4D02" w:rsidP="00BD4D02">
            <w:pPr>
              <w:rPr>
                <w:sz w:val="20"/>
                <w:szCs w:val="20"/>
              </w:rPr>
            </w:pPr>
          </w:p>
        </w:tc>
        <w:tc>
          <w:tcPr>
            <w:tcW w:w="663" w:type="dxa"/>
            <w:shd w:val="clear" w:color="auto" w:fill="auto"/>
            <w:noWrap/>
            <w:vAlign w:val="bottom"/>
            <w:hideMark/>
          </w:tcPr>
          <w:p w14:paraId="57F6C7DB" w14:textId="77777777" w:rsidR="00BD4D02" w:rsidRPr="00BD4D02" w:rsidRDefault="00BD4D02" w:rsidP="00BD4D02">
            <w:pPr>
              <w:rPr>
                <w:sz w:val="20"/>
                <w:szCs w:val="20"/>
              </w:rPr>
            </w:pPr>
          </w:p>
        </w:tc>
        <w:tc>
          <w:tcPr>
            <w:tcW w:w="663" w:type="dxa"/>
            <w:shd w:val="clear" w:color="auto" w:fill="auto"/>
            <w:noWrap/>
            <w:vAlign w:val="bottom"/>
            <w:hideMark/>
          </w:tcPr>
          <w:p w14:paraId="315E0F0D" w14:textId="77777777" w:rsidR="00BD4D02" w:rsidRPr="00BD4D02" w:rsidRDefault="00BD4D02" w:rsidP="00BD4D02">
            <w:pPr>
              <w:rPr>
                <w:sz w:val="20"/>
                <w:szCs w:val="20"/>
              </w:rPr>
            </w:pPr>
          </w:p>
        </w:tc>
        <w:tc>
          <w:tcPr>
            <w:tcW w:w="663" w:type="dxa"/>
            <w:shd w:val="clear" w:color="auto" w:fill="auto"/>
            <w:noWrap/>
            <w:vAlign w:val="bottom"/>
            <w:hideMark/>
          </w:tcPr>
          <w:p w14:paraId="00742E2F" w14:textId="77777777" w:rsidR="00BD4D02" w:rsidRPr="00BD4D02" w:rsidRDefault="00BD4D02" w:rsidP="00BD4D02">
            <w:pPr>
              <w:rPr>
                <w:sz w:val="20"/>
                <w:szCs w:val="20"/>
              </w:rPr>
            </w:pPr>
          </w:p>
        </w:tc>
        <w:tc>
          <w:tcPr>
            <w:tcW w:w="663" w:type="dxa"/>
            <w:shd w:val="clear" w:color="auto" w:fill="auto"/>
            <w:noWrap/>
            <w:vAlign w:val="bottom"/>
            <w:hideMark/>
          </w:tcPr>
          <w:p w14:paraId="041C66FE" w14:textId="77777777" w:rsidR="00BD4D02" w:rsidRPr="00BD4D02" w:rsidRDefault="00BD4D02" w:rsidP="00BD4D02">
            <w:pPr>
              <w:rPr>
                <w:sz w:val="20"/>
                <w:szCs w:val="20"/>
              </w:rPr>
            </w:pPr>
          </w:p>
        </w:tc>
        <w:tc>
          <w:tcPr>
            <w:tcW w:w="663" w:type="dxa"/>
            <w:shd w:val="clear" w:color="auto" w:fill="auto"/>
            <w:noWrap/>
            <w:vAlign w:val="bottom"/>
            <w:hideMark/>
          </w:tcPr>
          <w:p w14:paraId="50A7CE4E" w14:textId="77777777" w:rsidR="00BD4D02" w:rsidRPr="00BD4D02" w:rsidRDefault="00BD4D02" w:rsidP="00BD4D02">
            <w:pPr>
              <w:rPr>
                <w:sz w:val="20"/>
                <w:szCs w:val="20"/>
              </w:rPr>
            </w:pPr>
          </w:p>
        </w:tc>
        <w:tc>
          <w:tcPr>
            <w:tcW w:w="663" w:type="dxa"/>
            <w:shd w:val="clear" w:color="auto" w:fill="auto"/>
            <w:noWrap/>
            <w:vAlign w:val="bottom"/>
            <w:hideMark/>
          </w:tcPr>
          <w:p w14:paraId="50A255DE" w14:textId="77777777" w:rsidR="00BD4D02" w:rsidRPr="00BD4D02" w:rsidRDefault="00BD4D02" w:rsidP="00BD4D02">
            <w:pPr>
              <w:rPr>
                <w:sz w:val="20"/>
                <w:szCs w:val="20"/>
              </w:rPr>
            </w:pPr>
          </w:p>
        </w:tc>
        <w:tc>
          <w:tcPr>
            <w:tcW w:w="663" w:type="dxa"/>
            <w:shd w:val="clear" w:color="auto" w:fill="auto"/>
            <w:noWrap/>
            <w:vAlign w:val="bottom"/>
            <w:hideMark/>
          </w:tcPr>
          <w:p w14:paraId="7EC503D4" w14:textId="77777777" w:rsidR="00BD4D02" w:rsidRPr="00BD4D02" w:rsidRDefault="00BD4D02" w:rsidP="00BD4D02">
            <w:pPr>
              <w:rPr>
                <w:sz w:val="20"/>
                <w:szCs w:val="20"/>
              </w:rPr>
            </w:pPr>
          </w:p>
        </w:tc>
        <w:tc>
          <w:tcPr>
            <w:tcW w:w="663" w:type="dxa"/>
            <w:shd w:val="clear" w:color="auto" w:fill="auto"/>
            <w:noWrap/>
            <w:vAlign w:val="bottom"/>
            <w:hideMark/>
          </w:tcPr>
          <w:p w14:paraId="6730E894" w14:textId="77777777" w:rsidR="00BD4D02" w:rsidRPr="00BD4D02" w:rsidRDefault="00BD4D02" w:rsidP="00BD4D02">
            <w:pPr>
              <w:rPr>
                <w:sz w:val="20"/>
                <w:szCs w:val="20"/>
              </w:rPr>
            </w:pPr>
          </w:p>
        </w:tc>
        <w:tc>
          <w:tcPr>
            <w:tcW w:w="663" w:type="dxa"/>
            <w:shd w:val="clear" w:color="auto" w:fill="auto"/>
            <w:noWrap/>
            <w:vAlign w:val="bottom"/>
            <w:hideMark/>
          </w:tcPr>
          <w:p w14:paraId="5A576CAD"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66F10CCD"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1180" w:type="dxa"/>
            <w:shd w:val="clear" w:color="auto" w:fill="auto"/>
            <w:noWrap/>
            <w:vAlign w:val="bottom"/>
            <w:hideMark/>
          </w:tcPr>
          <w:p w14:paraId="4884FA26"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r>
      <w:tr w:rsidR="00BD4D02" w:rsidRPr="00BD4D02" w14:paraId="71C44D4D" w14:textId="77777777" w:rsidTr="00050580">
        <w:trPr>
          <w:trHeight w:val="144"/>
        </w:trPr>
        <w:tc>
          <w:tcPr>
            <w:tcW w:w="4500" w:type="dxa"/>
            <w:shd w:val="clear" w:color="auto" w:fill="auto"/>
            <w:noWrap/>
            <w:vAlign w:val="bottom"/>
            <w:hideMark/>
          </w:tcPr>
          <w:p w14:paraId="574A1469" w14:textId="77777777" w:rsidR="00BD4D02" w:rsidRPr="00BD4D02" w:rsidRDefault="00BD4D02" w:rsidP="00BD4D02">
            <w:pPr>
              <w:ind w:firstLineChars="100" w:firstLine="201"/>
              <w:rPr>
                <w:rFonts w:ascii="Calibri" w:hAnsi="Calibri" w:cs="Calibri"/>
                <w:b/>
                <w:bCs/>
                <w:color w:val="000000"/>
                <w:sz w:val="20"/>
                <w:szCs w:val="20"/>
              </w:rPr>
            </w:pPr>
            <w:r w:rsidRPr="00BD4D02">
              <w:rPr>
                <w:rFonts w:ascii="Calibri" w:hAnsi="Calibri" w:cs="Calibri"/>
                <w:b/>
                <w:bCs/>
                <w:color w:val="000000"/>
                <w:sz w:val="20"/>
                <w:szCs w:val="20"/>
              </w:rPr>
              <w:t>Efficiency</w:t>
            </w:r>
          </w:p>
        </w:tc>
        <w:tc>
          <w:tcPr>
            <w:tcW w:w="770" w:type="dxa"/>
            <w:shd w:val="clear" w:color="auto" w:fill="auto"/>
            <w:noWrap/>
            <w:vAlign w:val="bottom"/>
            <w:hideMark/>
          </w:tcPr>
          <w:p w14:paraId="4FFDE333" w14:textId="77777777" w:rsidR="00BD4D02" w:rsidRPr="00BD4D02" w:rsidRDefault="00BD4D02" w:rsidP="00BD4D02">
            <w:pPr>
              <w:ind w:firstLineChars="100" w:firstLine="201"/>
              <w:rPr>
                <w:rFonts w:ascii="Calibri" w:hAnsi="Calibri" w:cs="Calibri"/>
                <w:b/>
                <w:bCs/>
                <w:color w:val="000000"/>
                <w:sz w:val="20"/>
                <w:szCs w:val="20"/>
              </w:rPr>
            </w:pPr>
          </w:p>
        </w:tc>
        <w:tc>
          <w:tcPr>
            <w:tcW w:w="663" w:type="dxa"/>
            <w:shd w:val="clear" w:color="auto" w:fill="auto"/>
            <w:noWrap/>
            <w:vAlign w:val="bottom"/>
            <w:hideMark/>
          </w:tcPr>
          <w:p w14:paraId="5A01FA4F" w14:textId="77777777" w:rsidR="00BD4D02" w:rsidRPr="00BD4D02" w:rsidRDefault="00BD4D02" w:rsidP="00BD4D02">
            <w:pPr>
              <w:rPr>
                <w:sz w:val="20"/>
                <w:szCs w:val="20"/>
              </w:rPr>
            </w:pPr>
          </w:p>
        </w:tc>
        <w:tc>
          <w:tcPr>
            <w:tcW w:w="663" w:type="dxa"/>
            <w:shd w:val="clear" w:color="auto" w:fill="auto"/>
            <w:noWrap/>
            <w:vAlign w:val="bottom"/>
            <w:hideMark/>
          </w:tcPr>
          <w:p w14:paraId="18ECA04A" w14:textId="77777777" w:rsidR="00BD4D02" w:rsidRPr="00BD4D02" w:rsidRDefault="00BD4D02" w:rsidP="00BD4D02">
            <w:pPr>
              <w:rPr>
                <w:sz w:val="20"/>
                <w:szCs w:val="20"/>
              </w:rPr>
            </w:pPr>
          </w:p>
        </w:tc>
        <w:tc>
          <w:tcPr>
            <w:tcW w:w="663" w:type="dxa"/>
            <w:shd w:val="clear" w:color="auto" w:fill="auto"/>
            <w:noWrap/>
            <w:vAlign w:val="bottom"/>
            <w:hideMark/>
          </w:tcPr>
          <w:p w14:paraId="48CDE676" w14:textId="77777777" w:rsidR="00BD4D02" w:rsidRPr="00BD4D02" w:rsidRDefault="00BD4D02" w:rsidP="00BD4D02">
            <w:pPr>
              <w:rPr>
                <w:sz w:val="20"/>
                <w:szCs w:val="20"/>
              </w:rPr>
            </w:pPr>
          </w:p>
        </w:tc>
        <w:tc>
          <w:tcPr>
            <w:tcW w:w="663" w:type="dxa"/>
            <w:shd w:val="clear" w:color="auto" w:fill="auto"/>
            <w:noWrap/>
            <w:vAlign w:val="bottom"/>
            <w:hideMark/>
          </w:tcPr>
          <w:p w14:paraId="1E0F23D2" w14:textId="77777777" w:rsidR="00BD4D02" w:rsidRPr="00BD4D02" w:rsidRDefault="00BD4D02" w:rsidP="00BD4D02">
            <w:pPr>
              <w:rPr>
                <w:sz w:val="20"/>
                <w:szCs w:val="20"/>
              </w:rPr>
            </w:pPr>
          </w:p>
        </w:tc>
        <w:tc>
          <w:tcPr>
            <w:tcW w:w="663" w:type="dxa"/>
            <w:shd w:val="clear" w:color="auto" w:fill="auto"/>
            <w:noWrap/>
            <w:vAlign w:val="bottom"/>
            <w:hideMark/>
          </w:tcPr>
          <w:p w14:paraId="45DDF8CB"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2</w:t>
            </w:r>
          </w:p>
        </w:tc>
        <w:tc>
          <w:tcPr>
            <w:tcW w:w="663" w:type="dxa"/>
            <w:shd w:val="clear" w:color="auto" w:fill="auto"/>
            <w:noWrap/>
            <w:vAlign w:val="bottom"/>
            <w:hideMark/>
          </w:tcPr>
          <w:p w14:paraId="6F9E64DA"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2</w:t>
            </w:r>
          </w:p>
        </w:tc>
        <w:tc>
          <w:tcPr>
            <w:tcW w:w="663" w:type="dxa"/>
            <w:shd w:val="clear" w:color="auto" w:fill="auto"/>
            <w:noWrap/>
            <w:vAlign w:val="bottom"/>
            <w:hideMark/>
          </w:tcPr>
          <w:p w14:paraId="2A8FE89F" w14:textId="77777777" w:rsidR="00BD4D02" w:rsidRPr="00BD4D02" w:rsidRDefault="00BD4D02" w:rsidP="00BD4D02">
            <w:pPr>
              <w:jc w:val="right"/>
              <w:rPr>
                <w:rFonts w:ascii="Calibri" w:hAnsi="Calibri" w:cs="Calibri"/>
                <w:b/>
                <w:bCs/>
                <w:color w:val="000000"/>
                <w:sz w:val="20"/>
                <w:szCs w:val="20"/>
              </w:rPr>
            </w:pPr>
          </w:p>
        </w:tc>
        <w:tc>
          <w:tcPr>
            <w:tcW w:w="663" w:type="dxa"/>
            <w:shd w:val="clear" w:color="auto" w:fill="auto"/>
            <w:noWrap/>
            <w:vAlign w:val="bottom"/>
            <w:hideMark/>
          </w:tcPr>
          <w:p w14:paraId="6DDBE51D" w14:textId="77777777" w:rsidR="00BD4D02" w:rsidRPr="00BD4D02" w:rsidRDefault="00BD4D02" w:rsidP="00BD4D02">
            <w:pPr>
              <w:rPr>
                <w:sz w:val="20"/>
                <w:szCs w:val="20"/>
              </w:rPr>
            </w:pPr>
          </w:p>
        </w:tc>
        <w:tc>
          <w:tcPr>
            <w:tcW w:w="663" w:type="dxa"/>
            <w:shd w:val="clear" w:color="auto" w:fill="auto"/>
            <w:noWrap/>
            <w:vAlign w:val="bottom"/>
            <w:hideMark/>
          </w:tcPr>
          <w:p w14:paraId="27F18312" w14:textId="77777777" w:rsidR="00BD4D02" w:rsidRPr="00BD4D02" w:rsidRDefault="00BD4D02" w:rsidP="00BD4D02">
            <w:pPr>
              <w:rPr>
                <w:sz w:val="20"/>
                <w:szCs w:val="20"/>
              </w:rPr>
            </w:pPr>
          </w:p>
        </w:tc>
        <w:tc>
          <w:tcPr>
            <w:tcW w:w="663" w:type="dxa"/>
            <w:shd w:val="clear" w:color="auto" w:fill="auto"/>
            <w:noWrap/>
            <w:vAlign w:val="bottom"/>
            <w:hideMark/>
          </w:tcPr>
          <w:p w14:paraId="773E14FD" w14:textId="77777777" w:rsidR="00BD4D02" w:rsidRPr="00BD4D02" w:rsidRDefault="00BD4D02" w:rsidP="00BD4D02">
            <w:pPr>
              <w:rPr>
                <w:sz w:val="20"/>
                <w:szCs w:val="20"/>
              </w:rPr>
            </w:pPr>
          </w:p>
        </w:tc>
        <w:tc>
          <w:tcPr>
            <w:tcW w:w="663" w:type="dxa"/>
            <w:shd w:val="clear" w:color="auto" w:fill="auto"/>
            <w:noWrap/>
            <w:vAlign w:val="bottom"/>
            <w:hideMark/>
          </w:tcPr>
          <w:p w14:paraId="23B82ABE" w14:textId="77777777" w:rsidR="00BD4D02" w:rsidRPr="00BD4D02" w:rsidRDefault="00BD4D02" w:rsidP="00BD4D02">
            <w:pPr>
              <w:rPr>
                <w:sz w:val="20"/>
                <w:szCs w:val="20"/>
              </w:rPr>
            </w:pPr>
          </w:p>
        </w:tc>
        <w:tc>
          <w:tcPr>
            <w:tcW w:w="1180" w:type="dxa"/>
            <w:shd w:val="clear" w:color="auto" w:fill="auto"/>
            <w:noWrap/>
            <w:vAlign w:val="bottom"/>
            <w:hideMark/>
          </w:tcPr>
          <w:p w14:paraId="6B4C862D"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4</w:t>
            </w:r>
          </w:p>
        </w:tc>
      </w:tr>
      <w:tr w:rsidR="00BD4D02" w:rsidRPr="00BD4D02" w14:paraId="0B695A14" w14:textId="77777777" w:rsidTr="00050580">
        <w:trPr>
          <w:trHeight w:val="144"/>
        </w:trPr>
        <w:tc>
          <w:tcPr>
            <w:tcW w:w="4500" w:type="dxa"/>
            <w:shd w:val="clear" w:color="auto" w:fill="auto"/>
            <w:noWrap/>
            <w:vAlign w:val="bottom"/>
            <w:hideMark/>
          </w:tcPr>
          <w:p w14:paraId="12D684FA"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DNCL</w:t>
            </w:r>
          </w:p>
        </w:tc>
        <w:tc>
          <w:tcPr>
            <w:tcW w:w="770" w:type="dxa"/>
            <w:shd w:val="clear" w:color="auto" w:fill="auto"/>
            <w:noWrap/>
            <w:vAlign w:val="bottom"/>
            <w:hideMark/>
          </w:tcPr>
          <w:p w14:paraId="4AB823FE"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15499175" w14:textId="77777777" w:rsidR="00BD4D02" w:rsidRPr="00BD4D02" w:rsidRDefault="00BD4D02" w:rsidP="00BD4D02">
            <w:pPr>
              <w:rPr>
                <w:sz w:val="20"/>
                <w:szCs w:val="20"/>
              </w:rPr>
            </w:pPr>
          </w:p>
        </w:tc>
        <w:tc>
          <w:tcPr>
            <w:tcW w:w="663" w:type="dxa"/>
            <w:shd w:val="clear" w:color="auto" w:fill="auto"/>
            <w:noWrap/>
            <w:vAlign w:val="bottom"/>
            <w:hideMark/>
          </w:tcPr>
          <w:p w14:paraId="425DE23C" w14:textId="77777777" w:rsidR="00BD4D02" w:rsidRPr="00BD4D02" w:rsidRDefault="00BD4D02" w:rsidP="00BD4D02">
            <w:pPr>
              <w:rPr>
                <w:sz w:val="20"/>
                <w:szCs w:val="20"/>
              </w:rPr>
            </w:pPr>
          </w:p>
        </w:tc>
        <w:tc>
          <w:tcPr>
            <w:tcW w:w="663" w:type="dxa"/>
            <w:shd w:val="clear" w:color="auto" w:fill="auto"/>
            <w:noWrap/>
            <w:vAlign w:val="bottom"/>
            <w:hideMark/>
          </w:tcPr>
          <w:p w14:paraId="26BD027F" w14:textId="77777777" w:rsidR="00BD4D02" w:rsidRPr="00BD4D02" w:rsidRDefault="00BD4D02" w:rsidP="00BD4D02">
            <w:pPr>
              <w:rPr>
                <w:sz w:val="20"/>
                <w:szCs w:val="20"/>
              </w:rPr>
            </w:pPr>
          </w:p>
        </w:tc>
        <w:tc>
          <w:tcPr>
            <w:tcW w:w="663" w:type="dxa"/>
            <w:shd w:val="clear" w:color="auto" w:fill="auto"/>
            <w:noWrap/>
            <w:vAlign w:val="bottom"/>
            <w:hideMark/>
          </w:tcPr>
          <w:p w14:paraId="3C158ECA" w14:textId="77777777" w:rsidR="00BD4D02" w:rsidRPr="00BD4D02" w:rsidRDefault="00BD4D02" w:rsidP="00BD4D02">
            <w:pPr>
              <w:rPr>
                <w:sz w:val="20"/>
                <w:szCs w:val="20"/>
              </w:rPr>
            </w:pPr>
          </w:p>
        </w:tc>
        <w:tc>
          <w:tcPr>
            <w:tcW w:w="663" w:type="dxa"/>
            <w:shd w:val="clear" w:color="auto" w:fill="auto"/>
            <w:noWrap/>
            <w:vAlign w:val="bottom"/>
            <w:hideMark/>
          </w:tcPr>
          <w:p w14:paraId="2213AE4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6810C967"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670B73CB"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3D662ADB" w14:textId="77777777" w:rsidR="00BD4D02" w:rsidRPr="00BD4D02" w:rsidRDefault="00BD4D02" w:rsidP="00BD4D02">
            <w:pPr>
              <w:rPr>
                <w:sz w:val="20"/>
                <w:szCs w:val="20"/>
              </w:rPr>
            </w:pPr>
          </w:p>
        </w:tc>
        <w:tc>
          <w:tcPr>
            <w:tcW w:w="663" w:type="dxa"/>
            <w:shd w:val="clear" w:color="auto" w:fill="auto"/>
            <w:noWrap/>
            <w:vAlign w:val="bottom"/>
            <w:hideMark/>
          </w:tcPr>
          <w:p w14:paraId="1386F3EB" w14:textId="77777777" w:rsidR="00BD4D02" w:rsidRPr="00BD4D02" w:rsidRDefault="00BD4D02" w:rsidP="00BD4D02">
            <w:pPr>
              <w:rPr>
                <w:sz w:val="20"/>
                <w:szCs w:val="20"/>
              </w:rPr>
            </w:pPr>
          </w:p>
        </w:tc>
        <w:tc>
          <w:tcPr>
            <w:tcW w:w="663" w:type="dxa"/>
            <w:shd w:val="clear" w:color="auto" w:fill="auto"/>
            <w:noWrap/>
            <w:vAlign w:val="bottom"/>
            <w:hideMark/>
          </w:tcPr>
          <w:p w14:paraId="3B48487A" w14:textId="77777777" w:rsidR="00BD4D02" w:rsidRPr="00BD4D02" w:rsidRDefault="00BD4D02" w:rsidP="00BD4D02">
            <w:pPr>
              <w:rPr>
                <w:sz w:val="20"/>
                <w:szCs w:val="20"/>
              </w:rPr>
            </w:pPr>
          </w:p>
        </w:tc>
        <w:tc>
          <w:tcPr>
            <w:tcW w:w="663" w:type="dxa"/>
            <w:shd w:val="clear" w:color="auto" w:fill="auto"/>
            <w:noWrap/>
            <w:vAlign w:val="bottom"/>
            <w:hideMark/>
          </w:tcPr>
          <w:p w14:paraId="5F113C72" w14:textId="77777777" w:rsidR="00BD4D02" w:rsidRPr="00BD4D02" w:rsidRDefault="00BD4D02" w:rsidP="00BD4D02">
            <w:pPr>
              <w:rPr>
                <w:sz w:val="20"/>
                <w:szCs w:val="20"/>
              </w:rPr>
            </w:pPr>
          </w:p>
        </w:tc>
        <w:tc>
          <w:tcPr>
            <w:tcW w:w="1180" w:type="dxa"/>
            <w:shd w:val="clear" w:color="auto" w:fill="auto"/>
            <w:noWrap/>
            <w:vAlign w:val="bottom"/>
            <w:hideMark/>
          </w:tcPr>
          <w:p w14:paraId="3348D03C"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r>
      <w:tr w:rsidR="00BD4D02" w:rsidRPr="00BD4D02" w14:paraId="6D66A430" w14:textId="77777777" w:rsidTr="00050580">
        <w:trPr>
          <w:trHeight w:val="144"/>
        </w:trPr>
        <w:tc>
          <w:tcPr>
            <w:tcW w:w="4500" w:type="dxa"/>
            <w:shd w:val="clear" w:color="auto" w:fill="auto"/>
            <w:noWrap/>
            <w:vAlign w:val="bottom"/>
            <w:hideMark/>
          </w:tcPr>
          <w:p w14:paraId="63B1614B"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DNCL - registrations</w:t>
            </w:r>
          </w:p>
        </w:tc>
        <w:tc>
          <w:tcPr>
            <w:tcW w:w="770" w:type="dxa"/>
            <w:shd w:val="clear" w:color="auto" w:fill="auto"/>
            <w:noWrap/>
            <w:vAlign w:val="bottom"/>
            <w:hideMark/>
          </w:tcPr>
          <w:p w14:paraId="26EE64A5"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2297E516" w14:textId="77777777" w:rsidR="00BD4D02" w:rsidRPr="00BD4D02" w:rsidRDefault="00BD4D02" w:rsidP="00BD4D02">
            <w:pPr>
              <w:rPr>
                <w:sz w:val="20"/>
                <w:szCs w:val="20"/>
              </w:rPr>
            </w:pPr>
          </w:p>
        </w:tc>
        <w:tc>
          <w:tcPr>
            <w:tcW w:w="663" w:type="dxa"/>
            <w:shd w:val="clear" w:color="auto" w:fill="auto"/>
            <w:noWrap/>
            <w:vAlign w:val="bottom"/>
            <w:hideMark/>
          </w:tcPr>
          <w:p w14:paraId="383C39FC" w14:textId="77777777" w:rsidR="00BD4D02" w:rsidRPr="00BD4D02" w:rsidRDefault="00BD4D02" w:rsidP="00BD4D02">
            <w:pPr>
              <w:rPr>
                <w:sz w:val="20"/>
                <w:szCs w:val="20"/>
              </w:rPr>
            </w:pPr>
          </w:p>
        </w:tc>
        <w:tc>
          <w:tcPr>
            <w:tcW w:w="663" w:type="dxa"/>
            <w:shd w:val="clear" w:color="auto" w:fill="auto"/>
            <w:noWrap/>
            <w:vAlign w:val="bottom"/>
            <w:hideMark/>
          </w:tcPr>
          <w:p w14:paraId="79894CD7" w14:textId="77777777" w:rsidR="00BD4D02" w:rsidRPr="00BD4D02" w:rsidRDefault="00BD4D02" w:rsidP="00BD4D02">
            <w:pPr>
              <w:rPr>
                <w:sz w:val="20"/>
                <w:szCs w:val="20"/>
              </w:rPr>
            </w:pPr>
          </w:p>
        </w:tc>
        <w:tc>
          <w:tcPr>
            <w:tcW w:w="663" w:type="dxa"/>
            <w:shd w:val="clear" w:color="auto" w:fill="auto"/>
            <w:noWrap/>
            <w:vAlign w:val="bottom"/>
            <w:hideMark/>
          </w:tcPr>
          <w:p w14:paraId="2355BB35" w14:textId="77777777" w:rsidR="00BD4D02" w:rsidRPr="00BD4D02" w:rsidRDefault="00BD4D02" w:rsidP="00BD4D02">
            <w:pPr>
              <w:rPr>
                <w:sz w:val="20"/>
                <w:szCs w:val="20"/>
              </w:rPr>
            </w:pPr>
          </w:p>
        </w:tc>
        <w:tc>
          <w:tcPr>
            <w:tcW w:w="663" w:type="dxa"/>
            <w:shd w:val="clear" w:color="auto" w:fill="auto"/>
            <w:noWrap/>
            <w:vAlign w:val="bottom"/>
            <w:hideMark/>
          </w:tcPr>
          <w:p w14:paraId="2AFBB7B2"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15C30088"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74F82537"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6EB89794" w14:textId="77777777" w:rsidR="00BD4D02" w:rsidRPr="00BD4D02" w:rsidRDefault="00BD4D02" w:rsidP="00BD4D02">
            <w:pPr>
              <w:rPr>
                <w:sz w:val="20"/>
                <w:szCs w:val="20"/>
              </w:rPr>
            </w:pPr>
          </w:p>
        </w:tc>
        <w:tc>
          <w:tcPr>
            <w:tcW w:w="663" w:type="dxa"/>
            <w:shd w:val="clear" w:color="auto" w:fill="auto"/>
            <w:noWrap/>
            <w:vAlign w:val="bottom"/>
            <w:hideMark/>
          </w:tcPr>
          <w:p w14:paraId="3A9BF87C" w14:textId="77777777" w:rsidR="00BD4D02" w:rsidRPr="00BD4D02" w:rsidRDefault="00BD4D02" w:rsidP="00BD4D02">
            <w:pPr>
              <w:rPr>
                <w:sz w:val="20"/>
                <w:szCs w:val="20"/>
              </w:rPr>
            </w:pPr>
          </w:p>
        </w:tc>
        <w:tc>
          <w:tcPr>
            <w:tcW w:w="663" w:type="dxa"/>
            <w:shd w:val="clear" w:color="auto" w:fill="auto"/>
            <w:noWrap/>
            <w:vAlign w:val="bottom"/>
            <w:hideMark/>
          </w:tcPr>
          <w:p w14:paraId="0C98804C" w14:textId="77777777" w:rsidR="00BD4D02" w:rsidRPr="00BD4D02" w:rsidRDefault="00BD4D02" w:rsidP="00BD4D02">
            <w:pPr>
              <w:rPr>
                <w:sz w:val="20"/>
                <w:szCs w:val="20"/>
              </w:rPr>
            </w:pPr>
          </w:p>
        </w:tc>
        <w:tc>
          <w:tcPr>
            <w:tcW w:w="663" w:type="dxa"/>
            <w:shd w:val="clear" w:color="auto" w:fill="auto"/>
            <w:noWrap/>
            <w:vAlign w:val="bottom"/>
            <w:hideMark/>
          </w:tcPr>
          <w:p w14:paraId="517E8F84" w14:textId="77777777" w:rsidR="00BD4D02" w:rsidRPr="00BD4D02" w:rsidRDefault="00BD4D02" w:rsidP="00BD4D02">
            <w:pPr>
              <w:rPr>
                <w:sz w:val="20"/>
                <w:szCs w:val="20"/>
              </w:rPr>
            </w:pPr>
          </w:p>
        </w:tc>
        <w:tc>
          <w:tcPr>
            <w:tcW w:w="1180" w:type="dxa"/>
            <w:shd w:val="clear" w:color="auto" w:fill="auto"/>
            <w:noWrap/>
            <w:vAlign w:val="bottom"/>
            <w:hideMark/>
          </w:tcPr>
          <w:p w14:paraId="7F54A5B9"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r>
      <w:tr w:rsidR="00BD4D02" w:rsidRPr="00BD4D02" w14:paraId="4CDF2766" w14:textId="77777777" w:rsidTr="00050580">
        <w:trPr>
          <w:trHeight w:val="144"/>
        </w:trPr>
        <w:tc>
          <w:tcPr>
            <w:tcW w:w="4500" w:type="dxa"/>
            <w:shd w:val="clear" w:color="auto" w:fill="auto"/>
            <w:noWrap/>
            <w:vAlign w:val="bottom"/>
            <w:hideMark/>
          </w:tcPr>
          <w:p w14:paraId="15B5BA8E" w14:textId="77777777" w:rsidR="00BD4D02" w:rsidRPr="00BD4D02" w:rsidRDefault="00BD4D02" w:rsidP="00BD4D02">
            <w:pPr>
              <w:ind w:firstLineChars="100" w:firstLine="201"/>
              <w:rPr>
                <w:rFonts w:ascii="Calibri" w:hAnsi="Calibri" w:cs="Calibri"/>
                <w:b/>
                <w:bCs/>
                <w:color w:val="000000"/>
                <w:sz w:val="20"/>
                <w:szCs w:val="20"/>
              </w:rPr>
            </w:pPr>
            <w:r w:rsidRPr="00BD4D02">
              <w:rPr>
                <w:rFonts w:ascii="Calibri" w:hAnsi="Calibri" w:cs="Calibri"/>
                <w:b/>
                <w:bCs/>
                <w:color w:val="000000"/>
                <w:sz w:val="20"/>
                <w:szCs w:val="20"/>
              </w:rPr>
              <w:t>Technology -availability</w:t>
            </w:r>
          </w:p>
        </w:tc>
        <w:tc>
          <w:tcPr>
            <w:tcW w:w="770" w:type="dxa"/>
            <w:shd w:val="clear" w:color="auto" w:fill="auto"/>
            <w:noWrap/>
            <w:vAlign w:val="bottom"/>
            <w:hideMark/>
          </w:tcPr>
          <w:p w14:paraId="77C28976" w14:textId="77777777" w:rsidR="00BD4D02" w:rsidRPr="00BD4D02" w:rsidRDefault="00BD4D02" w:rsidP="00BD4D02">
            <w:pPr>
              <w:ind w:firstLineChars="100" w:firstLine="201"/>
              <w:rPr>
                <w:rFonts w:ascii="Calibri" w:hAnsi="Calibri" w:cs="Calibri"/>
                <w:b/>
                <w:bCs/>
                <w:color w:val="000000"/>
                <w:sz w:val="20"/>
                <w:szCs w:val="20"/>
              </w:rPr>
            </w:pPr>
          </w:p>
        </w:tc>
        <w:tc>
          <w:tcPr>
            <w:tcW w:w="663" w:type="dxa"/>
            <w:shd w:val="clear" w:color="auto" w:fill="auto"/>
            <w:noWrap/>
            <w:vAlign w:val="bottom"/>
            <w:hideMark/>
          </w:tcPr>
          <w:p w14:paraId="7D2076B0" w14:textId="77777777" w:rsidR="00BD4D02" w:rsidRPr="00BD4D02" w:rsidRDefault="00BD4D02" w:rsidP="00BD4D02">
            <w:pPr>
              <w:rPr>
                <w:sz w:val="20"/>
                <w:szCs w:val="20"/>
              </w:rPr>
            </w:pPr>
          </w:p>
        </w:tc>
        <w:tc>
          <w:tcPr>
            <w:tcW w:w="663" w:type="dxa"/>
            <w:shd w:val="clear" w:color="auto" w:fill="auto"/>
            <w:noWrap/>
            <w:vAlign w:val="bottom"/>
            <w:hideMark/>
          </w:tcPr>
          <w:p w14:paraId="617643D5" w14:textId="77777777" w:rsidR="00BD4D02" w:rsidRPr="00BD4D02" w:rsidRDefault="00BD4D02" w:rsidP="00BD4D02">
            <w:pPr>
              <w:rPr>
                <w:sz w:val="20"/>
                <w:szCs w:val="20"/>
              </w:rPr>
            </w:pPr>
          </w:p>
        </w:tc>
        <w:tc>
          <w:tcPr>
            <w:tcW w:w="663" w:type="dxa"/>
            <w:shd w:val="clear" w:color="auto" w:fill="auto"/>
            <w:noWrap/>
            <w:vAlign w:val="bottom"/>
            <w:hideMark/>
          </w:tcPr>
          <w:p w14:paraId="11153300" w14:textId="77777777" w:rsidR="00BD4D02" w:rsidRPr="00BD4D02" w:rsidRDefault="00BD4D02" w:rsidP="00BD4D02">
            <w:pPr>
              <w:rPr>
                <w:sz w:val="20"/>
                <w:szCs w:val="20"/>
              </w:rPr>
            </w:pPr>
          </w:p>
        </w:tc>
        <w:tc>
          <w:tcPr>
            <w:tcW w:w="663" w:type="dxa"/>
            <w:shd w:val="clear" w:color="auto" w:fill="auto"/>
            <w:noWrap/>
            <w:vAlign w:val="bottom"/>
            <w:hideMark/>
          </w:tcPr>
          <w:p w14:paraId="75523AB3" w14:textId="77777777" w:rsidR="00BD4D02" w:rsidRPr="00BD4D02" w:rsidRDefault="00BD4D02" w:rsidP="00BD4D02">
            <w:pPr>
              <w:rPr>
                <w:sz w:val="20"/>
                <w:szCs w:val="20"/>
              </w:rPr>
            </w:pPr>
          </w:p>
        </w:tc>
        <w:tc>
          <w:tcPr>
            <w:tcW w:w="663" w:type="dxa"/>
            <w:shd w:val="clear" w:color="auto" w:fill="auto"/>
            <w:noWrap/>
            <w:vAlign w:val="bottom"/>
            <w:hideMark/>
          </w:tcPr>
          <w:p w14:paraId="6EA2CB9A" w14:textId="77777777" w:rsidR="00BD4D02" w:rsidRPr="00BD4D02" w:rsidRDefault="00BD4D02" w:rsidP="00BD4D02">
            <w:pPr>
              <w:rPr>
                <w:sz w:val="20"/>
                <w:szCs w:val="20"/>
              </w:rPr>
            </w:pPr>
          </w:p>
        </w:tc>
        <w:tc>
          <w:tcPr>
            <w:tcW w:w="663" w:type="dxa"/>
            <w:shd w:val="clear" w:color="auto" w:fill="auto"/>
            <w:noWrap/>
            <w:vAlign w:val="bottom"/>
            <w:hideMark/>
          </w:tcPr>
          <w:p w14:paraId="7669C668"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w:t>
            </w:r>
          </w:p>
        </w:tc>
        <w:tc>
          <w:tcPr>
            <w:tcW w:w="663" w:type="dxa"/>
            <w:shd w:val="clear" w:color="auto" w:fill="auto"/>
            <w:noWrap/>
            <w:vAlign w:val="bottom"/>
            <w:hideMark/>
          </w:tcPr>
          <w:p w14:paraId="52ED8089" w14:textId="77777777" w:rsidR="00BD4D02" w:rsidRPr="00BD4D02" w:rsidRDefault="00BD4D02" w:rsidP="00BD4D02">
            <w:pPr>
              <w:jc w:val="right"/>
              <w:rPr>
                <w:rFonts w:ascii="Calibri" w:hAnsi="Calibri" w:cs="Calibri"/>
                <w:b/>
                <w:bCs/>
                <w:color w:val="000000"/>
                <w:sz w:val="20"/>
                <w:szCs w:val="20"/>
              </w:rPr>
            </w:pPr>
          </w:p>
        </w:tc>
        <w:tc>
          <w:tcPr>
            <w:tcW w:w="663" w:type="dxa"/>
            <w:shd w:val="clear" w:color="auto" w:fill="auto"/>
            <w:noWrap/>
            <w:vAlign w:val="bottom"/>
            <w:hideMark/>
          </w:tcPr>
          <w:p w14:paraId="7C68F23D"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w:t>
            </w:r>
          </w:p>
        </w:tc>
        <w:tc>
          <w:tcPr>
            <w:tcW w:w="663" w:type="dxa"/>
            <w:shd w:val="clear" w:color="auto" w:fill="auto"/>
            <w:noWrap/>
            <w:vAlign w:val="bottom"/>
            <w:hideMark/>
          </w:tcPr>
          <w:p w14:paraId="612212A2"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w:t>
            </w:r>
          </w:p>
        </w:tc>
        <w:tc>
          <w:tcPr>
            <w:tcW w:w="663" w:type="dxa"/>
            <w:shd w:val="clear" w:color="auto" w:fill="auto"/>
            <w:noWrap/>
            <w:vAlign w:val="bottom"/>
            <w:hideMark/>
          </w:tcPr>
          <w:p w14:paraId="7331B015" w14:textId="77777777" w:rsidR="00BD4D02" w:rsidRPr="00BD4D02" w:rsidRDefault="00BD4D02" w:rsidP="00BD4D02">
            <w:pPr>
              <w:jc w:val="right"/>
              <w:rPr>
                <w:rFonts w:ascii="Calibri" w:hAnsi="Calibri" w:cs="Calibri"/>
                <w:b/>
                <w:bCs/>
                <w:color w:val="000000"/>
                <w:sz w:val="20"/>
                <w:szCs w:val="20"/>
              </w:rPr>
            </w:pPr>
          </w:p>
        </w:tc>
        <w:tc>
          <w:tcPr>
            <w:tcW w:w="663" w:type="dxa"/>
            <w:shd w:val="clear" w:color="auto" w:fill="auto"/>
            <w:noWrap/>
            <w:vAlign w:val="bottom"/>
            <w:hideMark/>
          </w:tcPr>
          <w:p w14:paraId="543D10A9" w14:textId="77777777" w:rsidR="00BD4D02" w:rsidRPr="00BD4D02" w:rsidRDefault="00BD4D02" w:rsidP="00BD4D02">
            <w:pPr>
              <w:rPr>
                <w:sz w:val="20"/>
                <w:szCs w:val="20"/>
              </w:rPr>
            </w:pPr>
          </w:p>
        </w:tc>
        <w:tc>
          <w:tcPr>
            <w:tcW w:w="1180" w:type="dxa"/>
            <w:shd w:val="clear" w:color="auto" w:fill="auto"/>
            <w:noWrap/>
            <w:vAlign w:val="bottom"/>
            <w:hideMark/>
          </w:tcPr>
          <w:p w14:paraId="45B50720"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3</w:t>
            </w:r>
          </w:p>
        </w:tc>
      </w:tr>
      <w:tr w:rsidR="00BD4D02" w:rsidRPr="00BD4D02" w14:paraId="0AB68E76" w14:textId="77777777" w:rsidTr="00050580">
        <w:trPr>
          <w:trHeight w:val="144"/>
        </w:trPr>
        <w:tc>
          <w:tcPr>
            <w:tcW w:w="4500" w:type="dxa"/>
            <w:shd w:val="clear" w:color="auto" w:fill="auto"/>
            <w:noWrap/>
            <w:vAlign w:val="bottom"/>
            <w:hideMark/>
          </w:tcPr>
          <w:p w14:paraId="27F7468D"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Coverage - wireless</w:t>
            </w:r>
          </w:p>
        </w:tc>
        <w:tc>
          <w:tcPr>
            <w:tcW w:w="770" w:type="dxa"/>
            <w:shd w:val="clear" w:color="auto" w:fill="auto"/>
            <w:noWrap/>
            <w:vAlign w:val="bottom"/>
            <w:hideMark/>
          </w:tcPr>
          <w:p w14:paraId="545A6889"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2B693D64" w14:textId="77777777" w:rsidR="00BD4D02" w:rsidRPr="00BD4D02" w:rsidRDefault="00BD4D02" w:rsidP="00BD4D02">
            <w:pPr>
              <w:rPr>
                <w:sz w:val="20"/>
                <w:szCs w:val="20"/>
              </w:rPr>
            </w:pPr>
          </w:p>
        </w:tc>
        <w:tc>
          <w:tcPr>
            <w:tcW w:w="663" w:type="dxa"/>
            <w:shd w:val="clear" w:color="auto" w:fill="auto"/>
            <w:noWrap/>
            <w:vAlign w:val="bottom"/>
            <w:hideMark/>
          </w:tcPr>
          <w:p w14:paraId="7F64F533" w14:textId="77777777" w:rsidR="00BD4D02" w:rsidRPr="00BD4D02" w:rsidRDefault="00BD4D02" w:rsidP="00BD4D02">
            <w:pPr>
              <w:rPr>
                <w:sz w:val="20"/>
                <w:szCs w:val="20"/>
              </w:rPr>
            </w:pPr>
          </w:p>
        </w:tc>
        <w:tc>
          <w:tcPr>
            <w:tcW w:w="663" w:type="dxa"/>
            <w:shd w:val="clear" w:color="auto" w:fill="auto"/>
            <w:noWrap/>
            <w:vAlign w:val="bottom"/>
            <w:hideMark/>
          </w:tcPr>
          <w:p w14:paraId="5F1F977E" w14:textId="77777777" w:rsidR="00BD4D02" w:rsidRPr="00BD4D02" w:rsidRDefault="00BD4D02" w:rsidP="00BD4D02">
            <w:pPr>
              <w:rPr>
                <w:sz w:val="20"/>
                <w:szCs w:val="20"/>
              </w:rPr>
            </w:pPr>
          </w:p>
        </w:tc>
        <w:tc>
          <w:tcPr>
            <w:tcW w:w="663" w:type="dxa"/>
            <w:shd w:val="clear" w:color="auto" w:fill="auto"/>
            <w:noWrap/>
            <w:vAlign w:val="bottom"/>
            <w:hideMark/>
          </w:tcPr>
          <w:p w14:paraId="5A03A140" w14:textId="77777777" w:rsidR="00BD4D02" w:rsidRPr="00BD4D02" w:rsidRDefault="00BD4D02" w:rsidP="00BD4D02">
            <w:pPr>
              <w:rPr>
                <w:sz w:val="20"/>
                <w:szCs w:val="20"/>
              </w:rPr>
            </w:pPr>
          </w:p>
        </w:tc>
        <w:tc>
          <w:tcPr>
            <w:tcW w:w="663" w:type="dxa"/>
            <w:shd w:val="clear" w:color="auto" w:fill="auto"/>
            <w:noWrap/>
            <w:vAlign w:val="bottom"/>
            <w:hideMark/>
          </w:tcPr>
          <w:p w14:paraId="584E0457" w14:textId="77777777" w:rsidR="00BD4D02" w:rsidRPr="00BD4D02" w:rsidRDefault="00BD4D02" w:rsidP="00BD4D02">
            <w:pPr>
              <w:rPr>
                <w:sz w:val="20"/>
                <w:szCs w:val="20"/>
              </w:rPr>
            </w:pPr>
          </w:p>
        </w:tc>
        <w:tc>
          <w:tcPr>
            <w:tcW w:w="663" w:type="dxa"/>
            <w:shd w:val="clear" w:color="auto" w:fill="auto"/>
            <w:noWrap/>
            <w:vAlign w:val="bottom"/>
            <w:hideMark/>
          </w:tcPr>
          <w:p w14:paraId="4409739E" w14:textId="77777777" w:rsidR="00BD4D02" w:rsidRPr="00BD4D02" w:rsidRDefault="00BD4D02" w:rsidP="00BD4D02">
            <w:pPr>
              <w:rPr>
                <w:sz w:val="20"/>
                <w:szCs w:val="20"/>
              </w:rPr>
            </w:pPr>
          </w:p>
        </w:tc>
        <w:tc>
          <w:tcPr>
            <w:tcW w:w="663" w:type="dxa"/>
            <w:shd w:val="clear" w:color="auto" w:fill="auto"/>
            <w:noWrap/>
            <w:vAlign w:val="bottom"/>
            <w:hideMark/>
          </w:tcPr>
          <w:p w14:paraId="39A55176" w14:textId="77777777" w:rsidR="00BD4D02" w:rsidRPr="00BD4D02" w:rsidRDefault="00BD4D02" w:rsidP="00BD4D02">
            <w:pPr>
              <w:rPr>
                <w:sz w:val="20"/>
                <w:szCs w:val="20"/>
              </w:rPr>
            </w:pPr>
          </w:p>
        </w:tc>
        <w:tc>
          <w:tcPr>
            <w:tcW w:w="663" w:type="dxa"/>
            <w:shd w:val="clear" w:color="auto" w:fill="auto"/>
            <w:noWrap/>
            <w:vAlign w:val="bottom"/>
            <w:hideMark/>
          </w:tcPr>
          <w:p w14:paraId="1632E646"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39B8CD1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019FE384"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6DE7E65D" w14:textId="77777777" w:rsidR="00BD4D02" w:rsidRPr="00BD4D02" w:rsidRDefault="00BD4D02" w:rsidP="00BD4D02">
            <w:pPr>
              <w:rPr>
                <w:sz w:val="20"/>
                <w:szCs w:val="20"/>
              </w:rPr>
            </w:pPr>
          </w:p>
        </w:tc>
        <w:tc>
          <w:tcPr>
            <w:tcW w:w="1180" w:type="dxa"/>
            <w:shd w:val="clear" w:color="auto" w:fill="auto"/>
            <w:noWrap/>
            <w:vAlign w:val="bottom"/>
            <w:hideMark/>
          </w:tcPr>
          <w:p w14:paraId="747D6C74"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r>
      <w:tr w:rsidR="00BD4D02" w:rsidRPr="00BD4D02" w14:paraId="76BBD2FE" w14:textId="77777777" w:rsidTr="00050580">
        <w:trPr>
          <w:trHeight w:val="144"/>
        </w:trPr>
        <w:tc>
          <w:tcPr>
            <w:tcW w:w="4500" w:type="dxa"/>
            <w:shd w:val="clear" w:color="auto" w:fill="auto"/>
            <w:noWrap/>
            <w:vAlign w:val="bottom"/>
            <w:hideMark/>
          </w:tcPr>
          <w:p w14:paraId="18840323"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Fibre optic lines</w:t>
            </w:r>
          </w:p>
        </w:tc>
        <w:tc>
          <w:tcPr>
            <w:tcW w:w="770" w:type="dxa"/>
            <w:shd w:val="clear" w:color="auto" w:fill="auto"/>
            <w:noWrap/>
            <w:vAlign w:val="bottom"/>
            <w:hideMark/>
          </w:tcPr>
          <w:p w14:paraId="1B790705"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0D0F123A" w14:textId="77777777" w:rsidR="00BD4D02" w:rsidRPr="00BD4D02" w:rsidRDefault="00BD4D02" w:rsidP="00BD4D02">
            <w:pPr>
              <w:rPr>
                <w:sz w:val="20"/>
                <w:szCs w:val="20"/>
              </w:rPr>
            </w:pPr>
          </w:p>
        </w:tc>
        <w:tc>
          <w:tcPr>
            <w:tcW w:w="663" w:type="dxa"/>
            <w:shd w:val="clear" w:color="auto" w:fill="auto"/>
            <w:noWrap/>
            <w:vAlign w:val="bottom"/>
            <w:hideMark/>
          </w:tcPr>
          <w:p w14:paraId="163AF285" w14:textId="77777777" w:rsidR="00BD4D02" w:rsidRPr="00BD4D02" w:rsidRDefault="00BD4D02" w:rsidP="00BD4D02">
            <w:pPr>
              <w:rPr>
                <w:sz w:val="20"/>
                <w:szCs w:val="20"/>
              </w:rPr>
            </w:pPr>
          </w:p>
        </w:tc>
        <w:tc>
          <w:tcPr>
            <w:tcW w:w="663" w:type="dxa"/>
            <w:shd w:val="clear" w:color="auto" w:fill="auto"/>
            <w:noWrap/>
            <w:vAlign w:val="bottom"/>
            <w:hideMark/>
          </w:tcPr>
          <w:p w14:paraId="6E769BAD" w14:textId="77777777" w:rsidR="00BD4D02" w:rsidRPr="00BD4D02" w:rsidRDefault="00BD4D02" w:rsidP="00BD4D02">
            <w:pPr>
              <w:rPr>
                <w:sz w:val="20"/>
                <w:szCs w:val="20"/>
              </w:rPr>
            </w:pPr>
          </w:p>
        </w:tc>
        <w:tc>
          <w:tcPr>
            <w:tcW w:w="663" w:type="dxa"/>
            <w:shd w:val="clear" w:color="auto" w:fill="auto"/>
            <w:noWrap/>
            <w:vAlign w:val="bottom"/>
            <w:hideMark/>
          </w:tcPr>
          <w:p w14:paraId="573F2100" w14:textId="77777777" w:rsidR="00BD4D02" w:rsidRPr="00BD4D02" w:rsidRDefault="00BD4D02" w:rsidP="00BD4D02">
            <w:pPr>
              <w:rPr>
                <w:sz w:val="20"/>
                <w:szCs w:val="20"/>
              </w:rPr>
            </w:pPr>
          </w:p>
        </w:tc>
        <w:tc>
          <w:tcPr>
            <w:tcW w:w="663" w:type="dxa"/>
            <w:shd w:val="clear" w:color="auto" w:fill="auto"/>
            <w:noWrap/>
            <w:vAlign w:val="bottom"/>
            <w:hideMark/>
          </w:tcPr>
          <w:p w14:paraId="2BE1DF3C" w14:textId="77777777" w:rsidR="00BD4D02" w:rsidRPr="00BD4D02" w:rsidRDefault="00BD4D02" w:rsidP="00BD4D02">
            <w:pPr>
              <w:rPr>
                <w:sz w:val="20"/>
                <w:szCs w:val="20"/>
              </w:rPr>
            </w:pPr>
          </w:p>
        </w:tc>
        <w:tc>
          <w:tcPr>
            <w:tcW w:w="663" w:type="dxa"/>
            <w:shd w:val="clear" w:color="auto" w:fill="auto"/>
            <w:noWrap/>
            <w:vAlign w:val="bottom"/>
            <w:hideMark/>
          </w:tcPr>
          <w:p w14:paraId="133DB94C"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41FA4A70"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3A067C83" w14:textId="77777777" w:rsidR="00BD4D02" w:rsidRPr="00BD4D02" w:rsidRDefault="00BD4D02" w:rsidP="00BD4D02">
            <w:pPr>
              <w:rPr>
                <w:sz w:val="20"/>
                <w:szCs w:val="20"/>
              </w:rPr>
            </w:pPr>
          </w:p>
        </w:tc>
        <w:tc>
          <w:tcPr>
            <w:tcW w:w="663" w:type="dxa"/>
            <w:shd w:val="clear" w:color="auto" w:fill="auto"/>
            <w:noWrap/>
            <w:vAlign w:val="bottom"/>
            <w:hideMark/>
          </w:tcPr>
          <w:p w14:paraId="25E36E8E" w14:textId="77777777" w:rsidR="00BD4D02" w:rsidRPr="00BD4D02" w:rsidRDefault="00BD4D02" w:rsidP="00BD4D02">
            <w:pPr>
              <w:rPr>
                <w:sz w:val="20"/>
                <w:szCs w:val="20"/>
              </w:rPr>
            </w:pPr>
          </w:p>
        </w:tc>
        <w:tc>
          <w:tcPr>
            <w:tcW w:w="663" w:type="dxa"/>
            <w:shd w:val="clear" w:color="auto" w:fill="auto"/>
            <w:noWrap/>
            <w:vAlign w:val="bottom"/>
            <w:hideMark/>
          </w:tcPr>
          <w:p w14:paraId="21150392" w14:textId="77777777" w:rsidR="00BD4D02" w:rsidRPr="00BD4D02" w:rsidRDefault="00BD4D02" w:rsidP="00BD4D02">
            <w:pPr>
              <w:rPr>
                <w:sz w:val="20"/>
                <w:szCs w:val="20"/>
              </w:rPr>
            </w:pPr>
          </w:p>
        </w:tc>
        <w:tc>
          <w:tcPr>
            <w:tcW w:w="663" w:type="dxa"/>
            <w:shd w:val="clear" w:color="auto" w:fill="auto"/>
            <w:noWrap/>
            <w:vAlign w:val="bottom"/>
            <w:hideMark/>
          </w:tcPr>
          <w:p w14:paraId="3E36C48B" w14:textId="77777777" w:rsidR="00BD4D02" w:rsidRPr="00BD4D02" w:rsidRDefault="00BD4D02" w:rsidP="00BD4D02">
            <w:pPr>
              <w:rPr>
                <w:sz w:val="20"/>
                <w:szCs w:val="20"/>
              </w:rPr>
            </w:pPr>
          </w:p>
        </w:tc>
        <w:tc>
          <w:tcPr>
            <w:tcW w:w="1180" w:type="dxa"/>
            <w:shd w:val="clear" w:color="auto" w:fill="auto"/>
            <w:noWrap/>
            <w:vAlign w:val="bottom"/>
            <w:hideMark/>
          </w:tcPr>
          <w:p w14:paraId="561ECD6E"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74D926A7" w14:textId="77777777" w:rsidTr="00050580">
        <w:trPr>
          <w:trHeight w:val="144"/>
        </w:trPr>
        <w:tc>
          <w:tcPr>
            <w:tcW w:w="4500" w:type="dxa"/>
            <w:shd w:val="clear" w:color="auto" w:fill="auto"/>
            <w:noWrap/>
            <w:vAlign w:val="bottom"/>
            <w:hideMark/>
          </w:tcPr>
          <w:p w14:paraId="1E9A58E8" w14:textId="77777777" w:rsidR="00BD4D02" w:rsidRPr="00BD4D02" w:rsidRDefault="00BD4D02" w:rsidP="00BD4D02">
            <w:pPr>
              <w:ind w:firstLineChars="100" w:firstLine="201"/>
              <w:rPr>
                <w:rFonts w:ascii="Calibri" w:hAnsi="Calibri" w:cs="Calibri"/>
                <w:b/>
                <w:bCs/>
                <w:color w:val="000000"/>
                <w:sz w:val="20"/>
                <w:szCs w:val="20"/>
              </w:rPr>
            </w:pPr>
            <w:r w:rsidRPr="00BD4D02">
              <w:rPr>
                <w:rFonts w:ascii="Calibri" w:hAnsi="Calibri" w:cs="Calibri"/>
                <w:b/>
                <w:bCs/>
                <w:color w:val="000000"/>
                <w:sz w:val="20"/>
                <w:szCs w:val="20"/>
              </w:rPr>
              <w:t xml:space="preserve">Technology - use </w:t>
            </w:r>
          </w:p>
        </w:tc>
        <w:tc>
          <w:tcPr>
            <w:tcW w:w="770" w:type="dxa"/>
            <w:shd w:val="clear" w:color="auto" w:fill="auto"/>
            <w:noWrap/>
            <w:vAlign w:val="bottom"/>
            <w:hideMark/>
          </w:tcPr>
          <w:p w14:paraId="22516EDC" w14:textId="77777777" w:rsidR="00BD4D02" w:rsidRPr="00BD4D02" w:rsidRDefault="00BD4D02" w:rsidP="00BD4D02">
            <w:pPr>
              <w:ind w:firstLineChars="100" w:firstLine="201"/>
              <w:rPr>
                <w:rFonts w:ascii="Calibri" w:hAnsi="Calibri" w:cs="Calibri"/>
                <w:b/>
                <w:bCs/>
                <w:color w:val="000000"/>
                <w:sz w:val="20"/>
                <w:szCs w:val="20"/>
              </w:rPr>
            </w:pPr>
          </w:p>
        </w:tc>
        <w:tc>
          <w:tcPr>
            <w:tcW w:w="663" w:type="dxa"/>
            <w:shd w:val="clear" w:color="auto" w:fill="auto"/>
            <w:noWrap/>
            <w:vAlign w:val="bottom"/>
            <w:hideMark/>
          </w:tcPr>
          <w:p w14:paraId="2916B8B4" w14:textId="77777777" w:rsidR="00BD4D02" w:rsidRPr="00BD4D02" w:rsidRDefault="00BD4D02" w:rsidP="00BD4D02">
            <w:pPr>
              <w:rPr>
                <w:sz w:val="20"/>
                <w:szCs w:val="20"/>
              </w:rPr>
            </w:pPr>
          </w:p>
        </w:tc>
        <w:tc>
          <w:tcPr>
            <w:tcW w:w="663" w:type="dxa"/>
            <w:shd w:val="clear" w:color="auto" w:fill="auto"/>
            <w:noWrap/>
            <w:vAlign w:val="bottom"/>
            <w:hideMark/>
          </w:tcPr>
          <w:p w14:paraId="67B88F81" w14:textId="77777777" w:rsidR="00BD4D02" w:rsidRPr="00BD4D02" w:rsidRDefault="00BD4D02" w:rsidP="00BD4D02">
            <w:pPr>
              <w:rPr>
                <w:sz w:val="20"/>
                <w:szCs w:val="20"/>
              </w:rPr>
            </w:pPr>
          </w:p>
        </w:tc>
        <w:tc>
          <w:tcPr>
            <w:tcW w:w="663" w:type="dxa"/>
            <w:shd w:val="clear" w:color="auto" w:fill="auto"/>
            <w:noWrap/>
            <w:vAlign w:val="bottom"/>
            <w:hideMark/>
          </w:tcPr>
          <w:p w14:paraId="2E6637F5" w14:textId="77777777" w:rsidR="00BD4D02" w:rsidRPr="00BD4D02" w:rsidRDefault="00BD4D02" w:rsidP="00BD4D02">
            <w:pPr>
              <w:rPr>
                <w:sz w:val="20"/>
                <w:szCs w:val="20"/>
              </w:rPr>
            </w:pPr>
          </w:p>
        </w:tc>
        <w:tc>
          <w:tcPr>
            <w:tcW w:w="663" w:type="dxa"/>
            <w:shd w:val="clear" w:color="auto" w:fill="auto"/>
            <w:noWrap/>
            <w:vAlign w:val="bottom"/>
            <w:hideMark/>
          </w:tcPr>
          <w:p w14:paraId="227D81A8" w14:textId="77777777" w:rsidR="00BD4D02" w:rsidRPr="00BD4D02" w:rsidRDefault="00BD4D02" w:rsidP="00BD4D02">
            <w:pPr>
              <w:rPr>
                <w:sz w:val="20"/>
                <w:szCs w:val="20"/>
              </w:rPr>
            </w:pPr>
          </w:p>
        </w:tc>
        <w:tc>
          <w:tcPr>
            <w:tcW w:w="663" w:type="dxa"/>
            <w:shd w:val="clear" w:color="auto" w:fill="auto"/>
            <w:noWrap/>
            <w:vAlign w:val="bottom"/>
            <w:hideMark/>
          </w:tcPr>
          <w:p w14:paraId="43E3C0BB" w14:textId="77777777" w:rsidR="00BD4D02" w:rsidRPr="00BD4D02" w:rsidRDefault="00BD4D02" w:rsidP="00BD4D02">
            <w:pPr>
              <w:rPr>
                <w:sz w:val="20"/>
                <w:szCs w:val="20"/>
              </w:rPr>
            </w:pPr>
          </w:p>
        </w:tc>
        <w:tc>
          <w:tcPr>
            <w:tcW w:w="663" w:type="dxa"/>
            <w:shd w:val="clear" w:color="auto" w:fill="auto"/>
            <w:noWrap/>
            <w:vAlign w:val="bottom"/>
            <w:hideMark/>
          </w:tcPr>
          <w:p w14:paraId="13659057" w14:textId="77777777" w:rsidR="00BD4D02" w:rsidRPr="00BD4D02" w:rsidRDefault="00BD4D02" w:rsidP="00BD4D02">
            <w:pPr>
              <w:rPr>
                <w:sz w:val="20"/>
                <w:szCs w:val="20"/>
              </w:rPr>
            </w:pPr>
          </w:p>
        </w:tc>
        <w:tc>
          <w:tcPr>
            <w:tcW w:w="663" w:type="dxa"/>
            <w:shd w:val="clear" w:color="auto" w:fill="auto"/>
            <w:noWrap/>
            <w:vAlign w:val="bottom"/>
            <w:hideMark/>
          </w:tcPr>
          <w:p w14:paraId="3A5F1B3E"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w:t>
            </w:r>
          </w:p>
        </w:tc>
        <w:tc>
          <w:tcPr>
            <w:tcW w:w="663" w:type="dxa"/>
            <w:shd w:val="clear" w:color="auto" w:fill="auto"/>
            <w:noWrap/>
            <w:vAlign w:val="bottom"/>
            <w:hideMark/>
          </w:tcPr>
          <w:p w14:paraId="6DA4F7DB"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w:t>
            </w:r>
          </w:p>
        </w:tc>
        <w:tc>
          <w:tcPr>
            <w:tcW w:w="663" w:type="dxa"/>
            <w:shd w:val="clear" w:color="auto" w:fill="auto"/>
            <w:noWrap/>
            <w:vAlign w:val="bottom"/>
            <w:hideMark/>
          </w:tcPr>
          <w:p w14:paraId="6CC580B2" w14:textId="77777777" w:rsidR="00BD4D02" w:rsidRPr="00BD4D02" w:rsidRDefault="00BD4D02" w:rsidP="00BD4D02">
            <w:pPr>
              <w:jc w:val="right"/>
              <w:rPr>
                <w:rFonts w:ascii="Calibri" w:hAnsi="Calibri" w:cs="Calibri"/>
                <w:b/>
                <w:bCs/>
                <w:color w:val="000000"/>
                <w:sz w:val="20"/>
                <w:szCs w:val="20"/>
              </w:rPr>
            </w:pPr>
          </w:p>
        </w:tc>
        <w:tc>
          <w:tcPr>
            <w:tcW w:w="663" w:type="dxa"/>
            <w:shd w:val="clear" w:color="auto" w:fill="auto"/>
            <w:noWrap/>
            <w:vAlign w:val="bottom"/>
            <w:hideMark/>
          </w:tcPr>
          <w:p w14:paraId="6FE71B7B" w14:textId="77777777" w:rsidR="00BD4D02" w:rsidRPr="00BD4D02" w:rsidRDefault="00BD4D02" w:rsidP="00BD4D02">
            <w:pPr>
              <w:rPr>
                <w:sz w:val="20"/>
                <w:szCs w:val="20"/>
              </w:rPr>
            </w:pPr>
          </w:p>
        </w:tc>
        <w:tc>
          <w:tcPr>
            <w:tcW w:w="663" w:type="dxa"/>
            <w:shd w:val="clear" w:color="auto" w:fill="auto"/>
            <w:noWrap/>
            <w:vAlign w:val="bottom"/>
            <w:hideMark/>
          </w:tcPr>
          <w:p w14:paraId="10163067" w14:textId="77777777" w:rsidR="00BD4D02" w:rsidRPr="00BD4D02" w:rsidRDefault="00BD4D02" w:rsidP="00BD4D02">
            <w:pPr>
              <w:rPr>
                <w:sz w:val="20"/>
                <w:szCs w:val="20"/>
              </w:rPr>
            </w:pPr>
          </w:p>
        </w:tc>
        <w:tc>
          <w:tcPr>
            <w:tcW w:w="1180" w:type="dxa"/>
            <w:shd w:val="clear" w:color="auto" w:fill="auto"/>
            <w:noWrap/>
            <w:vAlign w:val="bottom"/>
            <w:hideMark/>
          </w:tcPr>
          <w:p w14:paraId="3E4B967E"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2</w:t>
            </w:r>
          </w:p>
        </w:tc>
      </w:tr>
      <w:tr w:rsidR="00BD4D02" w:rsidRPr="00BD4D02" w14:paraId="0BC177CC" w14:textId="77777777" w:rsidTr="00050580">
        <w:trPr>
          <w:trHeight w:val="144"/>
        </w:trPr>
        <w:tc>
          <w:tcPr>
            <w:tcW w:w="4500" w:type="dxa"/>
            <w:shd w:val="clear" w:color="auto" w:fill="auto"/>
            <w:noWrap/>
            <w:vAlign w:val="bottom"/>
            <w:hideMark/>
          </w:tcPr>
          <w:p w14:paraId="49ACCE6D"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Fibre optic lines</w:t>
            </w:r>
          </w:p>
        </w:tc>
        <w:tc>
          <w:tcPr>
            <w:tcW w:w="770" w:type="dxa"/>
            <w:shd w:val="clear" w:color="auto" w:fill="auto"/>
            <w:noWrap/>
            <w:vAlign w:val="bottom"/>
            <w:hideMark/>
          </w:tcPr>
          <w:p w14:paraId="05780BE2"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696CA03C" w14:textId="77777777" w:rsidR="00BD4D02" w:rsidRPr="00BD4D02" w:rsidRDefault="00BD4D02" w:rsidP="00BD4D02">
            <w:pPr>
              <w:rPr>
                <w:sz w:val="20"/>
                <w:szCs w:val="20"/>
              </w:rPr>
            </w:pPr>
          </w:p>
        </w:tc>
        <w:tc>
          <w:tcPr>
            <w:tcW w:w="663" w:type="dxa"/>
            <w:shd w:val="clear" w:color="auto" w:fill="auto"/>
            <w:noWrap/>
            <w:vAlign w:val="bottom"/>
            <w:hideMark/>
          </w:tcPr>
          <w:p w14:paraId="074C146A" w14:textId="77777777" w:rsidR="00BD4D02" w:rsidRPr="00BD4D02" w:rsidRDefault="00BD4D02" w:rsidP="00BD4D02">
            <w:pPr>
              <w:rPr>
                <w:sz w:val="20"/>
                <w:szCs w:val="20"/>
              </w:rPr>
            </w:pPr>
          </w:p>
        </w:tc>
        <w:tc>
          <w:tcPr>
            <w:tcW w:w="663" w:type="dxa"/>
            <w:shd w:val="clear" w:color="auto" w:fill="auto"/>
            <w:noWrap/>
            <w:vAlign w:val="bottom"/>
            <w:hideMark/>
          </w:tcPr>
          <w:p w14:paraId="0CB7C83B" w14:textId="77777777" w:rsidR="00BD4D02" w:rsidRPr="00BD4D02" w:rsidRDefault="00BD4D02" w:rsidP="00BD4D02">
            <w:pPr>
              <w:rPr>
                <w:sz w:val="20"/>
                <w:szCs w:val="20"/>
              </w:rPr>
            </w:pPr>
          </w:p>
        </w:tc>
        <w:tc>
          <w:tcPr>
            <w:tcW w:w="663" w:type="dxa"/>
            <w:shd w:val="clear" w:color="auto" w:fill="auto"/>
            <w:noWrap/>
            <w:vAlign w:val="bottom"/>
            <w:hideMark/>
          </w:tcPr>
          <w:p w14:paraId="018928E0" w14:textId="77777777" w:rsidR="00BD4D02" w:rsidRPr="00BD4D02" w:rsidRDefault="00BD4D02" w:rsidP="00BD4D02">
            <w:pPr>
              <w:rPr>
                <w:sz w:val="20"/>
                <w:szCs w:val="20"/>
              </w:rPr>
            </w:pPr>
          </w:p>
        </w:tc>
        <w:tc>
          <w:tcPr>
            <w:tcW w:w="663" w:type="dxa"/>
            <w:shd w:val="clear" w:color="auto" w:fill="auto"/>
            <w:noWrap/>
            <w:vAlign w:val="bottom"/>
            <w:hideMark/>
          </w:tcPr>
          <w:p w14:paraId="05F1B7A6" w14:textId="77777777" w:rsidR="00BD4D02" w:rsidRPr="00BD4D02" w:rsidRDefault="00BD4D02" w:rsidP="00BD4D02">
            <w:pPr>
              <w:rPr>
                <w:sz w:val="20"/>
                <w:szCs w:val="20"/>
              </w:rPr>
            </w:pPr>
          </w:p>
        </w:tc>
        <w:tc>
          <w:tcPr>
            <w:tcW w:w="663" w:type="dxa"/>
            <w:shd w:val="clear" w:color="auto" w:fill="auto"/>
            <w:noWrap/>
            <w:vAlign w:val="bottom"/>
            <w:hideMark/>
          </w:tcPr>
          <w:p w14:paraId="251F1D78" w14:textId="77777777" w:rsidR="00BD4D02" w:rsidRPr="00BD4D02" w:rsidRDefault="00BD4D02" w:rsidP="00BD4D02">
            <w:pPr>
              <w:rPr>
                <w:sz w:val="20"/>
                <w:szCs w:val="20"/>
              </w:rPr>
            </w:pPr>
          </w:p>
        </w:tc>
        <w:tc>
          <w:tcPr>
            <w:tcW w:w="663" w:type="dxa"/>
            <w:shd w:val="clear" w:color="auto" w:fill="auto"/>
            <w:noWrap/>
            <w:vAlign w:val="bottom"/>
            <w:hideMark/>
          </w:tcPr>
          <w:p w14:paraId="35BA527A"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47FAF09E"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00EDBAEA"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3B284A7F" w14:textId="77777777" w:rsidR="00BD4D02" w:rsidRPr="00BD4D02" w:rsidRDefault="00BD4D02" w:rsidP="00BD4D02">
            <w:pPr>
              <w:rPr>
                <w:sz w:val="20"/>
                <w:szCs w:val="20"/>
              </w:rPr>
            </w:pPr>
          </w:p>
        </w:tc>
        <w:tc>
          <w:tcPr>
            <w:tcW w:w="663" w:type="dxa"/>
            <w:shd w:val="clear" w:color="auto" w:fill="auto"/>
            <w:noWrap/>
            <w:vAlign w:val="bottom"/>
            <w:hideMark/>
          </w:tcPr>
          <w:p w14:paraId="13BEB96A" w14:textId="77777777" w:rsidR="00BD4D02" w:rsidRPr="00BD4D02" w:rsidRDefault="00BD4D02" w:rsidP="00BD4D02">
            <w:pPr>
              <w:rPr>
                <w:sz w:val="20"/>
                <w:szCs w:val="20"/>
              </w:rPr>
            </w:pPr>
          </w:p>
        </w:tc>
        <w:tc>
          <w:tcPr>
            <w:tcW w:w="1180" w:type="dxa"/>
            <w:shd w:val="clear" w:color="auto" w:fill="auto"/>
            <w:noWrap/>
            <w:vAlign w:val="bottom"/>
            <w:hideMark/>
          </w:tcPr>
          <w:p w14:paraId="16DBDD32"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r>
      <w:tr w:rsidR="00BD4D02" w:rsidRPr="00BD4D02" w14:paraId="45E4E756" w14:textId="77777777" w:rsidTr="00050580">
        <w:trPr>
          <w:trHeight w:val="144"/>
        </w:trPr>
        <w:tc>
          <w:tcPr>
            <w:tcW w:w="4500" w:type="dxa"/>
            <w:shd w:val="clear" w:color="auto" w:fill="auto"/>
            <w:noWrap/>
            <w:vAlign w:val="bottom"/>
            <w:hideMark/>
          </w:tcPr>
          <w:p w14:paraId="181D7C2B" w14:textId="77777777" w:rsidR="00BD4D02" w:rsidRPr="00BD4D02" w:rsidRDefault="00BD4D02" w:rsidP="00BD4D02">
            <w:pPr>
              <w:ind w:firstLineChars="100" w:firstLine="201"/>
              <w:rPr>
                <w:rFonts w:ascii="Calibri" w:hAnsi="Calibri" w:cs="Calibri"/>
                <w:b/>
                <w:bCs/>
                <w:color w:val="000000"/>
                <w:sz w:val="20"/>
                <w:szCs w:val="20"/>
              </w:rPr>
            </w:pPr>
            <w:r w:rsidRPr="00BD4D02">
              <w:rPr>
                <w:rFonts w:ascii="Calibri" w:hAnsi="Calibri" w:cs="Calibri"/>
                <w:b/>
                <w:bCs/>
                <w:color w:val="000000"/>
                <w:sz w:val="20"/>
                <w:szCs w:val="20"/>
              </w:rPr>
              <w:t>Unknown (infographics - no description)</w:t>
            </w:r>
          </w:p>
        </w:tc>
        <w:tc>
          <w:tcPr>
            <w:tcW w:w="770" w:type="dxa"/>
            <w:shd w:val="clear" w:color="auto" w:fill="auto"/>
            <w:noWrap/>
            <w:vAlign w:val="bottom"/>
            <w:hideMark/>
          </w:tcPr>
          <w:p w14:paraId="3E3133CB" w14:textId="77777777" w:rsidR="00BD4D02" w:rsidRPr="00BD4D02" w:rsidRDefault="00BD4D02" w:rsidP="00BD4D02">
            <w:pPr>
              <w:ind w:firstLineChars="100" w:firstLine="201"/>
              <w:rPr>
                <w:rFonts w:ascii="Calibri" w:hAnsi="Calibri" w:cs="Calibri"/>
                <w:b/>
                <w:bCs/>
                <w:color w:val="000000"/>
                <w:sz w:val="20"/>
                <w:szCs w:val="20"/>
              </w:rPr>
            </w:pPr>
          </w:p>
        </w:tc>
        <w:tc>
          <w:tcPr>
            <w:tcW w:w="663" w:type="dxa"/>
            <w:shd w:val="clear" w:color="auto" w:fill="auto"/>
            <w:noWrap/>
            <w:vAlign w:val="bottom"/>
            <w:hideMark/>
          </w:tcPr>
          <w:p w14:paraId="009CD91A" w14:textId="77777777" w:rsidR="00BD4D02" w:rsidRPr="00BD4D02" w:rsidRDefault="00BD4D02" w:rsidP="00BD4D02">
            <w:pPr>
              <w:rPr>
                <w:sz w:val="20"/>
                <w:szCs w:val="20"/>
              </w:rPr>
            </w:pPr>
          </w:p>
        </w:tc>
        <w:tc>
          <w:tcPr>
            <w:tcW w:w="663" w:type="dxa"/>
            <w:shd w:val="clear" w:color="auto" w:fill="auto"/>
            <w:noWrap/>
            <w:vAlign w:val="bottom"/>
            <w:hideMark/>
          </w:tcPr>
          <w:p w14:paraId="1C417292" w14:textId="77777777" w:rsidR="00BD4D02" w:rsidRPr="00BD4D02" w:rsidRDefault="00BD4D02" w:rsidP="00BD4D02">
            <w:pPr>
              <w:rPr>
                <w:sz w:val="20"/>
                <w:szCs w:val="20"/>
              </w:rPr>
            </w:pPr>
          </w:p>
        </w:tc>
        <w:tc>
          <w:tcPr>
            <w:tcW w:w="663" w:type="dxa"/>
            <w:shd w:val="clear" w:color="auto" w:fill="auto"/>
            <w:noWrap/>
            <w:vAlign w:val="bottom"/>
            <w:hideMark/>
          </w:tcPr>
          <w:p w14:paraId="15D50064" w14:textId="77777777" w:rsidR="00BD4D02" w:rsidRPr="00BD4D02" w:rsidRDefault="00BD4D02" w:rsidP="00BD4D02">
            <w:pPr>
              <w:rPr>
                <w:sz w:val="20"/>
                <w:szCs w:val="20"/>
              </w:rPr>
            </w:pPr>
          </w:p>
        </w:tc>
        <w:tc>
          <w:tcPr>
            <w:tcW w:w="663" w:type="dxa"/>
            <w:shd w:val="clear" w:color="auto" w:fill="auto"/>
            <w:noWrap/>
            <w:vAlign w:val="bottom"/>
            <w:hideMark/>
          </w:tcPr>
          <w:p w14:paraId="277CC7E5" w14:textId="77777777" w:rsidR="00BD4D02" w:rsidRPr="00BD4D02" w:rsidRDefault="00BD4D02" w:rsidP="00BD4D02">
            <w:pPr>
              <w:rPr>
                <w:sz w:val="20"/>
                <w:szCs w:val="20"/>
              </w:rPr>
            </w:pPr>
          </w:p>
        </w:tc>
        <w:tc>
          <w:tcPr>
            <w:tcW w:w="663" w:type="dxa"/>
            <w:shd w:val="clear" w:color="auto" w:fill="auto"/>
            <w:noWrap/>
            <w:vAlign w:val="bottom"/>
            <w:hideMark/>
          </w:tcPr>
          <w:p w14:paraId="790D69ED" w14:textId="77777777" w:rsidR="00BD4D02" w:rsidRPr="00BD4D02" w:rsidRDefault="00BD4D02" w:rsidP="00BD4D02">
            <w:pPr>
              <w:rPr>
                <w:sz w:val="20"/>
                <w:szCs w:val="20"/>
              </w:rPr>
            </w:pPr>
          </w:p>
        </w:tc>
        <w:tc>
          <w:tcPr>
            <w:tcW w:w="663" w:type="dxa"/>
            <w:shd w:val="clear" w:color="auto" w:fill="auto"/>
            <w:noWrap/>
            <w:vAlign w:val="bottom"/>
            <w:hideMark/>
          </w:tcPr>
          <w:p w14:paraId="12A5A778" w14:textId="77777777" w:rsidR="00BD4D02" w:rsidRPr="00BD4D02" w:rsidRDefault="00BD4D02" w:rsidP="00BD4D02">
            <w:pPr>
              <w:rPr>
                <w:sz w:val="20"/>
                <w:szCs w:val="20"/>
              </w:rPr>
            </w:pPr>
          </w:p>
        </w:tc>
        <w:tc>
          <w:tcPr>
            <w:tcW w:w="663" w:type="dxa"/>
            <w:shd w:val="clear" w:color="auto" w:fill="auto"/>
            <w:noWrap/>
            <w:vAlign w:val="bottom"/>
            <w:hideMark/>
          </w:tcPr>
          <w:p w14:paraId="781653EC" w14:textId="77777777" w:rsidR="00BD4D02" w:rsidRPr="00BD4D02" w:rsidRDefault="00BD4D02" w:rsidP="00BD4D02">
            <w:pPr>
              <w:rPr>
                <w:sz w:val="20"/>
                <w:szCs w:val="20"/>
              </w:rPr>
            </w:pPr>
          </w:p>
        </w:tc>
        <w:tc>
          <w:tcPr>
            <w:tcW w:w="663" w:type="dxa"/>
            <w:shd w:val="clear" w:color="auto" w:fill="auto"/>
            <w:noWrap/>
            <w:vAlign w:val="bottom"/>
            <w:hideMark/>
          </w:tcPr>
          <w:p w14:paraId="0B9E80D2" w14:textId="77777777" w:rsidR="00BD4D02" w:rsidRPr="00BD4D02" w:rsidRDefault="00BD4D02" w:rsidP="00BD4D02">
            <w:pPr>
              <w:rPr>
                <w:sz w:val="20"/>
                <w:szCs w:val="20"/>
              </w:rPr>
            </w:pPr>
          </w:p>
        </w:tc>
        <w:tc>
          <w:tcPr>
            <w:tcW w:w="663" w:type="dxa"/>
            <w:shd w:val="clear" w:color="auto" w:fill="auto"/>
            <w:noWrap/>
            <w:vAlign w:val="bottom"/>
            <w:hideMark/>
          </w:tcPr>
          <w:p w14:paraId="5AC0A3F9" w14:textId="77777777" w:rsidR="00BD4D02" w:rsidRPr="00BD4D02" w:rsidRDefault="00BD4D02" w:rsidP="00BD4D02">
            <w:pPr>
              <w:rPr>
                <w:sz w:val="20"/>
                <w:szCs w:val="20"/>
              </w:rPr>
            </w:pPr>
          </w:p>
        </w:tc>
        <w:tc>
          <w:tcPr>
            <w:tcW w:w="663" w:type="dxa"/>
            <w:shd w:val="clear" w:color="auto" w:fill="auto"/>
            <w:noWrap/>
            <w:vAlign w:val="bottom"/>
            <w:hideMark/>
          </w:tcPr>
          <w:p w14:paraId="2B5F5D54"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30</w:t>
            </w:r>
          </w:p>
        </w:tc>
        <w:tc>
          <w:tcPr>
            <w:tcW w:w="663" w:type="dxa"/>
            <w:shd w:val="clear" w:color="auto" w:fill="auto"/>
            <w:noWrap/>
            <w:vAlign w:val="bottom"/>
            <w:hideMark/>
          </w:tcPr>
          <w:p w14:paraId="048C1924" w14:textId="77777777" w:rsidR="00BD4D02" w:rsidRPr="00BD4D02" w:rsidRDefault="00BD4D02" w:rsidP="00BD4D02">
            <w:pPr>
              <w:jc w:val="right"/>
              <w:rPr>
                <w:rFonts w:ascii="Calibri" w:hAnsi="Calibri" w:cs="Calibri"/>
                <w:b/>
                <w:bCs/>
                <w:color w:val="000000"/>
                <w:sz w:val="20"/>
                <w:szCs w:val="20"/>
              </w:rPr>
            </w:pPr>
          </w:p>
        </w:tc>
        <w:tc>
          <w:tcPr>
            <w:tcW w:w="1180" w:type="dxa"/>
            <w:shd w:val="clear" w:color="auto" w:fill="auto"/>
            <w:noWrap/>
            <w:vAlign w:val="bottom"/>
            <w:hideMark/>
          </w:tcPr>
          <w:p w14:paraId="0DAD2158"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30</w:t>
            </w:r>
          </w:p>
        </w:tc>
      </w:tr>
      <w:tr w:rsidR="00BD4D02" w:rsidRPr="00BD4D02" w14:paraId="36F5366F" w14:textId="77777777" w:rsidTr="00050580">
        <w:trPr>
          <w:trHeight w:val="144"/>
        </w:trPr>
        <w:tc>
          <w:tcPr>
            <w:tcW w:w="4500" w:type="dxa"/>
            <w:shd w:val="clear" w:color="auto" w:fill="auto"/>
            <w:noWrap/>
            <w:vAlign w:val="bottom"/>
            <w:hideMark/>
          </w:tcPr>
          <w:p w14:paraId="798BBB2F"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lastRenderedPageBreak/>
              <w:t>Infographic - unlabelled</w:t>
            </w:r>
          </w:p>
        </w:tc>
        <w:tc>
          <w:tcPr>
            <w:tcW w:w="770" w:type="dxa"/>
            <w:shd w:val="clear" w:color="auto" w:fill="auto"/>
            <w:noWrap/>
            <w:vAlign w:val="bottom"/>
            <w:hideMark/>
          </w:tcPr>
          <w:p w14:paraId="0098FE54"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0861808F" w14:textId="77777777" w:rsidR="00BD4D02" w:rsidRPr="00BD4D02" w:rsidRDefault="00BD4D02" w:rsidP="00BD4D02">
            <w:pPr>
              <w:rPr>
                <w:sz w:val="20"/>
                <w:szCs w:val="20"/>
              </w:rPr>
            </w:pPr>
          </w:p>
        </w:tc>
        <w:tc>
          <w:tcPr>
            <w:tcW w:w="663" w:type="dxa"/>
            <w:shd w:val="clear" w:color="auto" w:fill="auto"/>
            <w:noWrap/>
            <w:vAlign w:val="bottom"/>
            <w:hideMark/>
          </w:tcPr>
          <w:p w14:paraId="1F8DAF97" w14:textId="77777777" w:rsidR="00BD4D02" w:rsidRPr="00BD4D02" w:rsidRDefault="00BD4D02" w:rsidP="00BD4D02">
            <w:pPr>
              <w:rPr>
                <w:sz w:val="20"/>
                <w:szCs w:val="20"/>
              </w:rPr>
            </w:pPr>
          </w:p>
        </w:tc>
        <w:tc>
          <w:tcPr>
            <w:tcW w:w="663" w:type="dxa"/>
            <w:shd w:val="clear" w:color="auto" w:fill="auto"/>
            <w:noWrap/>
            <w:vAlign w:val="bottom"/>
            <w:hideMark/>
          </w:tcPr>
          <w:p w14:paraId="1995F755" w14:textId="77777777" w:rsidR="00BD4D02" w:rsidRPr="00BD4D02" w:rsidRDefault="00BD4D02" w:rsidP="00BD4D02">
            <w:pPr>
              <w:rPr>
                <w:sz w:val="20"/>
                <w:szCs w:val="20"/>
              </w:rPr>
            </w:pPr>
          </w:p>
        </w:tc>
        <w:tc>
          <w:tcPr>
            <w:tcW w:w="663" w:type="dxa"/>
            <w:shd w:val="clear" w:color="auto" w:fill="auto"/>
            <w:noWrap/>
            <w:vAlign w:val="bottom"/>
            <w:hideMark/>
          </w:tcPr>
          <w:p w14:paraId="293E2DF1" w14:textId="77777777" w:rsidR="00BD4D02" w:rsidRPr="00BD4D02" w:rsidRDefault="00BD4D02" w:rsidP="00BD4D02">
            <w:pPr>
              <w:rPr>
                <w:sz w:val="20"/>
                <w:szCs w:val="20"/>
              </w:rPr>
            </w:pPr>
          </w:p>
        </w:tc>
        <w:tc>
          <w:tcPr>
            <w:tcW w:w="663" w:type="dxa"/>
            <w:shd w:val="clear" w:color="auto" w:fill="auto"/>
            <w:noWrap/>
            <w:vAlign w:val="bottom"/>
            <w:hideMark/>
          </w:tcPr>
          <w:p w14:paraId="51753F45" w14:textId="77777777" w:rsidR="00BD4D02" w:rsidRPr="00BD4D02" w:rsidRDefault="00BD4D02" w:rsidP="00BD4D02">
            <w:pPr>
              <w:rPr>
                <w:sz w:val="20"/>
                <w:szCs w:val="20"/>
              </w:rPr>
            </w:pPr>
          </w:p>
        </w:tc>
        <w:tc>
          <w:tcPr>
            <w:tcW w:w="663" w:type="dxa"/>
            <w:shd w:val="clear" w:color="auto" w:fill="auto"/>
            <w:noWrap/>
            <w:vAlign w:val="bottom"/>
            <w:hideMark/>
          </w:tcPr>
          <w:p w14:paraId="1A090B8E" w14:textId="77777777" w:rsidR="00BD4D02" w:rsidRPr="00BD4D02" w:rsidRDefault="00BD4D02" w:rsidP="00BD4D02">
            <w:pPr>
              <w:rPr>
                <w:sz w:val="20"/>
                <w:szCs w:val="20"/>
              </w:rPr>
            </w:pPr>
          </w:p>
        </w:tc>
        <w:tc>
          <w:tcPr>
            <w:tcW w:w="663" w:type="dxa"/>
            <w:shd w:val="clear" w:color="auto" w:fill="auto"/>
            <w:noWrap/>
            <w:vAlign w:val="bottom"/>
            <w:hideMark/>
          </w:tcPr>
          <w:p w14:paraId="680CFB55" w14:textId="77777777" w:rsidR="00BD4D02" w:rsidRPr="00BD4D02" w:rsidRDefault="00BD4D02" w:rsidP="00BD4D02">
            <w:pPr>
              <w:rPr>
                <w:sz w:val="20"/>
                <w:szCs w:val="20"/>
              </w:rPr>
            </w:pPr>
          </w:p>
        </w:tc>
        <w:tc>
          <w:tcPr>
            <w:tcW w:w="663" w:type="dxa"/>
            <w:shd w:val="clear" w:color="auto" w:fill="auto"/>
            <w:noWrap/>
            <w:vAlign w:val="bottom"/>
            <w:hideMark/>
          </w:tcPr>
          <w:p w14:paraId="5512E749" w14:textId="77777777" w:rsidR="00BD4D02" w:rsidRPr="00BD4D02" w:rsidRDefault="00BD4D02" w:rsidP="00BD4D02">
            <w:pPr>
              <w:rPr>
                <w:sz w:val="20"/>
                <w:szCs w:val="20"/>
              </w:rPr>
            </w:pPr>
          </w:p>
        </w:tc>
        <w:tc>
          <w:tcPr>
            <w:tcW w:w="663" w:type="dxa"/>
            <w:shd w:val="clear" w:color="auto" w:fill="auto"/>
            <w:noWrap/>
            <w:vAlign w:val="bottom"/>
            <w:hideMark/>
          </w:tcPr>
          <w:p w14:paraId="513FBB94" w14:textId="77777777" w:rsidR="00BD4D02" w:rsidRPr="00BD4D02" w:rsidRDefault="00BD4D02" w:rsidP="00BD4D02">
            <w:pPr>
              <w:rPr>
                <w:sz w:val="20"/>
                <w:szCs w:val="20"/>
              </w:rPr>
            </w:pPr>
          </w:p>
        </w:tc>
        <w:tc>
          <w:tcPr>
            <w:tcW w:w="663" w:type="dxa"/>
            <w:shd w:val="clear" w:color="auto" w:fill="auto"/>
            <w:noWrap/>
            <w:vAlign w:val="bottom"/>
            <w:hideMark/>
          </w:tcPr>
          <w:p w14:paraId="150BF15D"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30</w:t>
            </w:r>
          </w:p>
        </w:tc>
        <w:tc>
          <w:tcPr>
            <w:tcW w:w="663" w:type="dxa"/>
            <w:shd w:val="clear" w:color="auto" w:fill="auto"/>
            <w:noWrap/>
            <w:vAlign w:val="bottom"/>
            <w:hideMark/>
          </w:tcPr>
          <w:p w14:paraId="06373309" w14:textId="77777777" w:rsidR="00BD4D02" w:rsidRPr="00BD4D02" w:rsidRDefault="00BD4D02" w:rsidP="00BD4D02">
            <w:pPr>
              <w:jc w:val="right"/>
              <w:rPr>
                <w:rFonts w:ascii="Calibri" w:hAnsi="Calibri" w:cs="Calibri"/>
                <w:color w:val="000000"/>
                <w:sz w:val="20"/>
                <w:szCs w:val="20"/>
              </w:rPr>
            </w:pPr>
          </w:p>
        </w:tc>
        <w:tc>
          <w:tcPr>
            <w:tcW w:w="1180" w:type="dxa"/>
            <w:shd w:val="clear" w:color="auto" w:fill="auto"/>
            <w:noWrap/>
            <w:vAlign w:val="bottom"/>
            <w:hideMark/>
          </w:tcPr>
          <w:p w14:paraId="0EADA73B"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30</w:t>
            </w:r>
          </w:p>
        </w:tc>
      </w:tr>
      <w:tr w:rsidR="00BD4D02" w:rsidRPr="00BD4D02" w14:paraId="5F88B64B" w14:textId="77777777" w:rsidTr="00050580">
        <w:trPr>
          <w:trHeight w:val="144"/>
        </w:trPr>
        <w:tc>
          <w:tcPr>
            <w:tcW w:w="4500" w:type="dxa"/>
            <w:shd w:val="clear" w:color="auto" w:fill="auto"/>
            <w:noWrap/>
            <w:vAlign w:val="bottom"/>
            <w:hideMark/>
          </w:tcPr>
          <w:p w14:paraId="78361C68" w14:textId="77777777" w:rsidR="00BD4D02" w:rsidRPr="00BD4D02" w:rsidRDefault="00BD4D02" w:rsidP="00BD4D02">
            <w:pPr>
              <w:rPr>
                <w:rFonts w:ascii="Calibri" w:hAnsi="Calibri" w:cs="Calibri"/>
                <w:b/>
                <w:bCs/>
                <w:color w:val="000000"/>
                <w:sz w:val="20"/>
                <w:szCs w:val="20"/>
              </w:rPr>
            </w:pPr>
            <w:r w:rsidRPr="00BD4D02">
              <w:rPr>
                <w:rFonts w:ascii="Calibri" w:hAnsi="Calibri" w:cs="Calibri"/>
                <w:b/>
                <w:bCs/>
                <w:color w:val="000000"/>
                <w:sz w:val="20"/>
                <w:szCs w:val="20"/>
              </w:rPr>
              <w:t>Communications</w:t>
            </w:r>
          </w:p>
        </w:tc>
        <w:tc>
          <w:tcPr>
            <w:tcW w:w="770" w:type="dxa"/>
            <w:shd w:val="clear" w:color="auto" w:fill="auto"/>
            <w:noWrap/>
            <w:vAlign w:val="bottom"/>
            <w:hideMark/>
          </w:tcPr>
          <w:p w14:paraId="4EECCB0D"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12</w:t>
            </w:r>
          </w:p>
        </w:tc>
        <w:tc>
          <w:tcPr>
            <w:tcW w:w="663" w:type="dxa"/>
            <w:shd w:val="clear" w:color="auto" w:fill="auto"/>
            <w:noWrap/>
            <w:vAlign w:val="bottom"/>
            <w:hideMark/>
          </w:tcPr>
          <w:p w14:paraId="6D368291"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10</w:t>
            </w:r>
          </w:p>
        </w:tc>
        <w:tc>
          <w:tcPr>
            <w:tcW w:w="663" w:type="dxa"/>
            <w:shd w:val="clear" w:color="auto" w:fill="auto"/>
            <w:noWrap/>
            <w:vAlign w:val="bottom"/>
            <w:hideMark/>
          </w:tcPr>
          <w:p w14:paraId="5F3BF480"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12</w:t>
            </w:r>
          </w:p>
        </w:tc>
        <w:tc>
          <w:tcPr>
            <w:tcW w:w="663" w:type="dxa"/>
            <w:shd w:val="clear" w:color="auto" w:fill="auto"/>
            <w:noWrap/>
            <w:vAlign w:val="bottom"/>
            <w:hideMark/>
          </w:tcPr>
          <w:p w14:paraId="1A1FCE36"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17</w:t>
            </w:r>
          </w:p>
        </w:tc>
        <w:tc>
          <w:tcPr>
            <w:tcW w:w="663" w:type="dxa"/>
            <w:shd w:val="clear" w:color="auto" w:fill="auto"/>
            <w:noWrap/>
            <w:vAlign w:val="bottom"/>
            <w:hideMark/>
          </w:tcPr>
          <w:p w14:paraId="51369CD2"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16</w:t>
            </w:r>
          </w:p>
        </w:tc>
        <w:tc>
          <w:tcPr>
            <w:tcW w:w="663" w:type="dxa"/>
            <w:shd w:val="clear" w:color="auto" w:fill="auto"/>
            <w:noWrap/>
            <w:vAlign w:val="bottom"/>
            <w:hideMark/>
          </w:tcPr>
          <w:p w14:paraId="372B0EC3"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15</w:t>
            </w:r>
          </w:p>
        </w:tc>
        <w:tc>
          <w:tcPr>
            <w:tcW w:w="663" w:type="dxa"/>
            <w:shd w:val="clear" w:color="auto" w:fill="auto"/>
            <w:noWrap/>
            <w:vAlign w:val="bottom"/>
            <w:hideMark/>
          </w:tcPr>
          <w:p w14:paraId="09E22CF4"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19</w:t>
            </w:r>
          </w:p>
        </w:tc>
        <w:tc>
          <w:tcPr>
            <w:tcW w:w="663" w:type="dxa"/>
            <w:shd w:val="clear" w:color="auto" w:fill="auto"/>
            <w:noWrap/>
            <w:vAlign w:val="bottom"/>
            <w:hideMark/>
          </w:tcPr>
          <w:p w14:paraId="44E34583"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18</w:t>
            </w:r>
          </w:p>
        </w:tc>
        <w:tc>
          <w:tcPr>
            <w:tcW w:w="663" w:type="dxa"/>
            <w:shd w:val="clear" w:color="auto" w:fill="auto"/>
            <w:noWrap/>
            <w:vAlign w:val="bottom"/>
            <w:hideMark/>
          </w:tcPr>
          <w:p w14:paraId="5DEE8742"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20</w:t>
            </w:r>
          </w:p>
        </w:tc>
        <w:tc>
          <w:tcPr>
            <w:tcW w:w="663" w:type="dxa"/>
            <w:shd w:val="clear" w:color="auto" w:fill="auto"/>
            <w:noWrap/>
            <w:vAlign w:val="bottom"/>
            <w:hideMark/>
          </w:tcPr>
          <w:p w14:paraId="22C7D28F"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20</w:t>
            </w:r>
          </w:p>
        </w:tc>
        <w:tc>
          <w:tcPr>
            <w:tcW w:w="663" w:type="dxa"/>
            <w:shd w:val="clear" w:color="auto" w:fill="auto"/>
            <w:noWrap/>
            <w:vAlign w:val="bottom"/>
            <w:hideMark/>
          </w:tcPr>
          <w:p w14:paraId="66E57AC9"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34</w:t>
            </w:r>
          </w:p>
        </w:tc>
        <w:tc>
          <w:tcPr>
            <w:tcW w:w="663" w:type="dxa"/>
            <w:shd w:val="clear" w:color="auto" w:fill="auto"/>
            <w:noWrap/>
            <w:vAlign w:val="bottom"/>
            <w:hideMark/>
          </w:tcPr>
          <w:p w14:paraId="0CA44BC3"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31</w:t>
            </w:r>
          </w:p>
        </w:tc>
        <w:tc>
          <w:tcPr>
            <w:tcW w:w="1180" w:type="dxa"/>
            <w:shd w:val="clear" w:color="auto" w:fill="auto"/>
            <w:noWrap/>
            <w:vAlign w:val="bottom"/>
            <w:hideMark/>
          </w:tcPr>
          <w:p w14:paraId="15FB2A0B"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224</w:t>
            </w:r>
          </w:p>
        </w:tc>
      </w:tr>
      <w:tr w:rsidR="00BD4D02" w:rsidRPr="00BD4D02" w14:paraId="0132D8D3" w14:textId="77777777" w:rsidTr="00050580">
        <w:trPr>
          <w:trHeight w:val="144"/>
        </w:trPr>
        <w:tc>
          <w:tcPr>
            <w:tcW w:w="4500" w:type="dxa"/>
            <w:shd w:val="clear" w:color="auto" w:fill="auto"/>
            <w:noWrap/>
            <w:vAlign w:val="bottom"/>
            <w:hideMark/>
          </w:tcPr>
          <w:p w14:paraId="1AC65455" w14:textId="77777777" w:rsidR="00BD4D02" w:rsidRPr="00BD4D02" w:rsidRDefault="00BD4D02" w:rsidP="00BD4D02">
            <w:pPr>
              <w:ind w:firstLineChars="100" w:firstLine="201"/>
              <w:rPr>
                <w:rFonts w:ascii="Calibri" w:hAnsi="Calibri" w:cs="Calibri"/>
                <w:b/>
                <w:bCs/>
                <w:color w:val="000000"/>
                <w:sz w:val="20"/>
                <w:szCs w:val="20"/>
              </w:rPr>
            </w:pPr>
            <w:r w:rsidRPr="00BD4D02">
              <w:rPr>
                <w:rFonts w:ascii="Calibri" w:hAnsi="Calibri" w:cs="Calibri"/>
                <w:b/>
                <w:bCs/>
                <w:color w:val="000000"/>
                <w:sz w:val="20"/>
                <w:szCs w:val="20"/>
              </w:rPr>
              <w:t>Industry structure</w:t>
            </w:r>
          </w:p>
        </w:tc>
        <w:tc>
          <w:tcPr>
            <w:tcW w:w="770" w:type="dxa"/>
            <w:shd w:val="clear" w:color="auto" w:fill="auto"/>
            <w:noWrap/>
            <w:vAlign w:val="bottom"/>
            <w:hideMark/>
          </w:tcPr>
          <w:p w14:paraId="459E08BC"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w:t>
            </w:r>
          </w:p>
        </w:tc>
        <w:tc>
          <w:tcPr>
            <w:tcW w:w="663" w:type="dxa"/>
            <w:shd w:val="clear" w:color="auto" w:fill="auto"/>
            <w:noWrap/>
            <w:vAlign w:val="bottom"/>
            <w:hideMark/>
          </w:tcPr>
          <w:p w14:paraId="5AC1F58D"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w:t>
            </w:r>
          </w:p>
        </w:tc>
        <w:tc>
          <w:tcPr>
            <w:tcW w:w="663" w:type="dxa"/>
            <w:shd w:val="clear" w:color="auto" w:fill="auto"/>
            <w:noWrap/>
            <w:vAlign w:val="bottom"/>
            <w:hideMark/>
          </w:tcPr>
          <w:p w14:paraId="5DF61995"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w:t>
            </w:r>
          </w:p>
        </w:tc>
        <w:tc>
          <w:tcPr>
            <w:tcW w:w="663" w:type="dxa"/>
            <w:shd w:val="clear" w:color="auto" w:fill="auto"/>
            <w:noWrap/>
            <w:vAlign w:val="bottom"/>
            <w:hideMark/>
          </w:tcPr>
          <w:p w14:paraId="45405088"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3</w:t>
            </w:r>
          </w:p>
        </w:tc>
        <w:tc>
          <w:tcPr>
            <w:tcW w:w="663" w:type="dxa"/>
            <w:shd w:val="clear" w:color="auto" w:fill="auto"/>
            <w:noWrap/>
            <w:vAlign w:val="bottom"/>
            <w:hideMark/>
          </w:tcPr>
          <w:p w14:paraId="4F5E3E5B"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w:t>
            </w:r>
          </w:p>
        </w:tc>
        <w:tc>
          <w:tcPr>
            <w:tcW w:w="663" w:type="dxa"/>
            <w:shd w:val="clear" w:color="auto" w:fill="auto"/>
            <w:noWrap/>
            <w:vAlign w:val="bottom"/>
            <w:hideMark/>
          </w:tcPr>
          <w:p w14:paraId="6D8B17CD"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w:t>
            </w:r>
          </w:p>
        </w:tc>
        <w:tc>
          <w:tcPr>
            <w:tcW w:w="663" w:type="dxa"/>
            <w:shd w:val="clear" w:color="auto" w:fill="auto"/>
            <w:noWrap/>
            <w:vAlign w:val="bottom"/>
            <w:hideMark/>
          </w:tcPr>
          <w:p w14:paraId="0C1CFF26"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2</w:t>
            </w:r>
          </w:p>
        </w:tc>
        <w:tc>
          <w:tcPr>
            <w:tcW w:w="663" w:type="dxa"/>
            <w:shd w:val="clear" w:color="auto" w:fill="auto"/>
            <w:noWrap/>
            <w:vAlign w:val="bottom"/>
            <w:hideMark/>
          </w:tcPr>
          <w:p w14:paraId="4F750907"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2</w:t>
            </w:r>
          </w:p>
        </w:tc>
        <w:tc>
          <w:tcPr>
            <w:tcW w:w="663" w:type="dxa"/>
            <w:shd w:val="clear" w:color="auto" w:fill="auto"/>
            <w:noWrap/>
            <w:vAlign w:val="bottom"/>
            <w:hideMark/>
          </w:tcPr>
          <w:p w14:paraId="57E84289" w14:textId="77777777" w:rsidR="00BD4D02" w:rsidRPr="00BD4D02" w:rsidRDefault="00BD4D02" w:rsidP="00BD4D02">
            <w:pPr>
              <w:jc w:val="right"/>
              <w:rPr>
                <w:rFonts w:ascii="Calibri" w:hAnsi="Calibri" w:cs="Calibri"/>
                <w:b/>
                <w:bCs/>
                <w:color w:val="000000"/>
                <w:sz w:val="20"/>
                <w:szCs w:val="20"/>
              </w:rPr>
            </w:pPr>
          </w:p>
        </w:tc>
        <w:tc>
          <w:tcPr>
            <w:tcW w:w="663" w:type="dxa"/>
            <w:shd w:val="clear" w:color="auto" w:fill="auto"/>
            <w:noWrap/>
            <w:vAlign w:val="bottom"/>
            <w:hideMark/>
          </w:tcPr>
          <w:p w14:paraId="044D5851" w14:textId="77777777" w:rsidR="00BD4D02" w:rsidRPr="00BD4D02" w:rsidRDefault="00BD4D02" w:rsidP="00BD4D02">
            <w:pPr>
              <w:rPr>
                <w:sz w:val="20"/>
                <w:szCs w:val="20"/>
              </w:rPr>
            </w:pPr>
          </w:p>
        </w:tc>
        <w:tc>
          <w:tcPr>
            <w:tcW w:w="663" w:type="dxa"/>
            <w:shd w:val="clear" w:color="auto" w:fill="auto"/>
            <w:noWrap/>
            <w:vAlign w:val="bottom"/>
            <w:hideMark/>
          </w:tcPr>
          <w:p w14:paraId="2641C709" w14:textId="77777777" w:rsidR="00BD4D02" w:rsidRPr="00BD4D02" w:rsidRDefault="00BD4D02" w:rsidP="00BD4D02">
            <w:pPr>
              <w:rPr>
                <w:sz w:val="20"/>
                <w:szCs w:val="20"/>
              </w:rPr>
            </w:pPr>
          </w:p>
        </w:tc>
        <w:tc>
          <w:tcPr>
            <w:tcW w:w="663" w:type="dxa"/>
            <w:shd w:val="clear" w:color="auto" w:fill="auto"/>
            <w:noWrap/>
            <w:vAlign w:val="bottom"/>
            <w:hideMark/>
          </w:tcPr>
          <w:p w14:paraId="447D732B"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2</w:t>
            </w:r>
          </w:p>
        </w:tc>
        <w:tc>
          <w:tcPr>
            <w:tcW w:w="1180" w:type="dxa"/>
            <w:shd w:val="clear" w:color="auto" w:fill="auto"/>
            <w:noWrap/>
            <w:vAlign w:val="bottom"/>
            <w:hideMark/>
          </w:tcPr>
          <w:p w14:paraId="1BB81CBA"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14</w:t>
            </w:r>
          </w:p>
        </w:tc>
      </w:tr>
      <w:tr w:rsidR="00BD4D02" w:rsidRPr="00BD4D02" w14:paraId="0FF86246" w14:textId="77777777" w:rsidTr="00050580">
        <w:trPr>
          <w:trHeight w:val="144"/>
        </w:trPr>
        <w:tc>
          <w:tcPr>
            <w:tcW w:w="4500" w:type="dxa"/>
            <w:shd w:val="clear" w:color="auto" w:fill="auto"/>
            <w:noWrap/>
            <w:vAlign w:val="bottom"/>
            <w:hideMark/>
          </w:tcPr>
          <w:p w14:paraId="16B4D48C"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Communications</w:t>
            </w:r>
          </w:p>
        </w:tc>
        <w:tc>
          <w:tcPr>
            <w:tcW w:w="770" w:type="dxa"/>
            <w:shd w:val="clear" w:color="auto" w:fill="auto"/>
            <w:noWrap/>
            <w:vAlign w:val="bottom"/>
            <w:hideMark/>
          </w:tcPr>
          <w:p w14:paraId="324AB3B0"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76DC2816" w14:textId="77777777" w:rsidR="00BD4D02" w:rsidRPr="00BD4D02" w:rsidRDefault="00BD4D02" w:rsidP="00BD4D02">
            <w:pPr>
              <w:rPr>
                <w:sz w:val="20"/>
                <w:szCs w:val="20"/>
              </w:rPr>
            </w:pPr>
          </w:p>
        </w:tc>
        <w:tc>
          <w:tcPr>
            <w:tcW w:w="663" w:type="dxa"/>
            <w:shd w:val="clear" w:color="auto" w:fill="auto"/>
            <w:noWrap/>
            <w:vAlign w:val="bottom"/>
            <w:hideMark/>
          </w:tcPr>
          <w:p w14:paraId="76FABE93" w14:textId="77777777" w:rsidR="00BD4D02" w:rsidRPr="00BD4D02" w:rsidRDefault="00BD4D02" w:rsidP="00BD4D02">
            <w:pPr>
              <w:rPr>
                <w:sz w:val="20"/>
                <w:szCs w:val="20"/>
              </w:rPr>
            </w:pPr>
          </w:p>
        </w:tc>
        <w:tc>
          <w:tcPr>
            <w:tcW w:w="663" w:type="dxa"/>
            <w:shd w:val="clear" w:color="auto" w:fill="auto"/>
            <w:noWrap/>
            <w:vAlign w:val="bottom"/>
            <w:hideMark/>
          </w:tcPr>
          <w:p w14:paraId="0C6E0943" w14:textId="77777777" w:rsidR="00BD4D02" w:rsidRPr="00BD4D02" w:rsidRDefault="00BD4D02" w:rsidP="00BD4D02">
            <w:pPr>
              <w:rPr>
                <w:sz w:val="20"/>
                <w:szCs w:val="20"/>
              </w:rPr>
            </w:pPr>
          </w:p>
        </w:tc>
        <w:tc>
          <w:tcPr>
            <w:tcW w:w="663" w:type="dxa"/>
            <w:shd w:val="clear" w:color="auto" w:fill="auto"/>
            <w:noWrap/>
            <w:vAlign w:val="bottom"/>
            <w:hideMark/>
          </w:tcPr>
          <w:p w14:paraId="74660C8E" w14:textId="77777777" w:rsidR="00BD4D02" w:rsidRPr="00BD4D02" w:rsidRDefault="00BD4D02" w:rsidP="00BD4D02">
            <w:pPr>
              <w:rPr>
                <w:sz w:val="20"/>
                <w:szCs w:val="20"/>
              </w:rPr>
            </w:pPr>
          </w:p>
        </w:tc>
        <w:tc>
          <w:tcPr>
            <w:tcW w:w="663" w:type="dxa"/>
            <w:shd w:val="clear" w:color="auto" w:fill="auto"/>
            <w:noWrap/>
            <w:vAlign w:val="bottom"/>
            <w:hideMark/>
          </w:tcPr>
          <w:p w14:paraId="09FC8CCA" w14:textId="77777777" w:rsidR="00BD4D02" w:rsidRPr="00BD4D02" w:rsidRDefault="00BD4D02" w:rsidP="00BD4D02">
            <w:pPr>
              <w:rPr>
                <w:sz w:val="20"/>
                <w:szCs w:val="20"/>
              </w:rPr>
            </w:pPr>
          </w:p>
        </w:tc>
        <w:tc>
          <w:tcPr>
            <w:tcW w:w="663" w:type="dxa"/>
            <w:shd w:val="clear" w:color="auto" w:fill="auto"/>
            <w:noWrap/>
            <w:vAlign w:val="bottom"/>
            <w:hideMark/>
          </w:tcPr>
          <w:p w14:paraId="38B1D5C2"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19624C0B"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6B0C104B"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48DA0654" w14:textId="77777777" w:rsidR="00BD4D02" w:rsidRPr="00BD4D02" w:rsidRDefault="00BD4D02" w:rsidP="00BD4D02">
            <w:pPr>
              <w:rPr>
                <w:sz w:val="20"/>
                <w:szCs w:val="20"/>
              </w:rPr>
            </w:pPr>
          </w:p>
        </w:tc>
        <w:tc>
          <w:tcPr>
            <w:tcW w:w="663" w:type="dxa"/>
            <w:shd w:val="clear" w:color="auto" w:fill="auto"/>
            <w:noWrap/>
            <w:vAlign w:val="bottom"/>
            <w:hideMark/>
          </w:tcPr>
          <w:p w14:paraId="6F31B2BC" w14:textId="77777777" w:rsidR="00BD4D02" w:rsidRPr="00BD4D02" w:rsidRDefault="00BD4D02" w:rsidP="00BD4D02">
            <w:pPr>
              <w:rPr>
                <w:sz w:val="20"/>
                <w:szCs w:val="20"/>
              </w:rPr>
            </w:pPr>
          </w:p>
        </w:tc>
        <w:tc>
          <w:tcPr>
            <w:tcW w:w="663" w:type="dxa"/>
            <w:shd w:val="clear" w:color="auto" w:fill="auto"/>
            <w:noWrap/>
            <w:vAlign w:val="bottom"/>
            <w:hideMark/>
          </w:tcPr>
          <w:p w14:paraId="60A2B78D"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1180" w:type="dxa"/>
            <w:shd w:val="clear" w:color="auto" w:fill="auto"/>
            <w:noWrap/>
            <w:vAlign w:val="bottom"/>
            <w:hideMark/>
          </w:tcPr>
          <w:p w14:paraId="5D6893BB"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w:t>
            </w:r>
          </w:p>
        </w:tc>
      </w:tr>
      <w:tr w:rsidR="00BD4D02" w:rsidRPr="00BD4D02" w14:paraId="2464BEC4" w14:textId="77777777" w:rsidTr="00050580">
        <w:trPr>
          <w:trHeight w:val="144"/>
        </w:trPr>
        <w:tc>
          <w:tcPr>
            <w:tcW w:w="4500" w:type="dxa"/>
            <w:shd w:val="clear" w:color="auto" w:fill="auto"/>
            <w:noWrap/>
            <w:vAlign w:val="bottom"/>
            <w:hideMark/>
          </w:tcPr>
          <w:p w14:paraId="46DEDC24"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 xml:space="preserve">Communications </w:t>
            </w:r>
          </w:p>
        </w:tc>
        <w:tc>
          <w:tcPr>
            <w:tcW w:w="770" w:type="dxa"/>
            <w:shd w:val="clear" w:color="auto" w:fill="auto"/>
            <w:noWrap/>
            <w:vAlign w:val="bottom"/>
            <w:hideMark/>
          </w:tcPr>
          <w:p w14:paraId="6EB01A35"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74EA47E1" w14:textId="77777777" w:rsidR="00BD4D02" w:rsidRPr="00BD4D02" w:rsidRDefault="00BD4D02" w:rsidP="00BD4D02">
            <w:pPr>
              <w:rPr>
                <w:sz w:val="20"/>
                <w:szCs w:val="20"/>
              </w:rPr>
            </w:pPr>
          </w:p>
        </w:tc>
        <w:tc>
          <w:tcPr>
            <w:tcW w:w="663" w:type="dxa"/>
            <w:shd w:val="clear" w:color="auto" w:fill="auto"/>
            <w:noWrap/>
            <w:vAlign w:val="bottom"/>
            <w:hideMark/>
          </w:tcPr>
          <w:p w14:paraId="5AD480D7" w14:textId="77777777" w:rsidR="00BD4D02" w:rsidRPr="00BD4D02" w:rsidRDefault="00BD4D02" w:rsidP="00BD4D02">
            <w:pPr>
              <w:rPr>
                <w:sz w:val="20"/>
                <w:szCs w:val="20"/>
              </w:rPr>
            </w:pPr>
          </w:p>
        </w:tc>
        <w:tc>
          <w:tcPr>
            <w:tcW w:w="663" w:type="dxa"/>
            <w:shd w:val="clear" w:color="auto" w:fill="auto"/>
            <w:noWrap/>
            <w:vAlign w:val="bottom"/>
            <w:hideMark/>
          </w:tcPr>
          <w:p w14:paraId="255FACEC" w14:textId="77777777" w:rsidR="00BD4D02" w:rsidRPr="00BD4D02" w:rsidRDefault="00BD4D02" w:rsidP="00BD4D02">
            <w:pPr>
              <w:rPr>
                <w:sz w:val="20"/>
                <w:szCs w:val="20"/>
              </w:rPr>
            </w:pPr>
          </w:p>
        </w:tc>
        <w:tc>
          <w:tcPr>
            <w:tcW w:w="663" w:type="dxa"/>
            <w:shd w:val="clear" w:color="auto" w:fill="auto"/>
            <w:noWrap/>
            <w:vAlign w:val="bottom"/>
            <w:hideMark/>
          </w:tcPr>
          <w:p w14:paraId="62799407" w14:textId="77777777" w:rsidR="00BD4D02" w:rsidRPr="00BD4D02" w:rsidRDefault="00BD4D02" w:rsidP="00BD4D02">
            <w:pPr>
              <w:rPr>
                <w:sz w:val="20"/>
                <w:szCs w:val="20"/>
              </w:rPr>
            </w:pPr>
          </w:p>
        </w:tc>
        <w:tc>
          <w:tcPr>
            <w:tcW w:w="663" w:type="dxa"/>
            <w:shd w:val="clear" w:color="auto" w:fill="auto"/>
            <w:noWrap/>
            <w:vAlign w:val="bottom"/>
            <w:hideMark/>
          </w:tcPr>
          <w:p w14:paraId="6D30B685" w14:textId="77777777" w:rsidR="00BD4D02" w:rsidRPr="00BD4D02" w:rsidRDefault="00BD4D02" w:rsidP="00BD4D02">
            <w:pPr>
              <w:rPr>
                <w:sz w:val="20"/>
                <w:szCs w:val="20"/>
              </w:rPr>
            </w:pPr>
          </w:p>
        </w:tc>
        <w:tc>
          <w:tcPr>
            <w:tcW w:w="663" w:type="dxa"/>
            <w:shd w:val="clear" w:color="auto" w:fill="auto"/>
            <w:noWrap/>
            <w:vAlign w:val="bottom"/>
            <w:hideMark/>
          </w:tcPr>
          <w:p w14:paraId="00D6EE54" w14:textId="77777777" w:rsidR="00BD4D02" w:rsidRPr="00BD4D02" w:rsidRDefault="00BD4D02" w:rsidP="00BD4D02">
            <w:pPr>
              <w:rPr>
                <w:sz w:val="20"/>
                <w:szCs w:val="20"/>
              </w:rPr>
            </w:pPr>
          </w:p>
        </w:tc>
        <w:tc>
          <w:tcPr>
            <w:tcW w:w="663" w:type="dxa"/>
            <w:shd w:val="clear" w:color="auto" w:fill="auto"/>
            <w:noWrap/>
            <w:vAlign w:val="bottom"/>
            <w:hideMark/>
          </w:tcPr>
          <w:p w14:paraId="5081B01B" w14:textId="77777777" w:rsidR="00BD4D02" w:rsidRPr="00BD4D02" w:rsidRDefault="00BD4D02" w:rsidP="00BD4D02">
            <w:pPr>
              <w:rPr>
                <w:sz w:val="20"/>
                <w:szCs w:val="20"/>
              </w:rPr>
            </w:pPr>
          </w:p>
        </w:tc>
        <w:tc>
          <w:tcPr>
            <w:tcW w:w="663" w:type="dxa"/>
            <w:shd w:val="clear" w:color="auto" w:fill="auto"/>
            <w:noWrap/>
            <w:vAlign w:val="bottom"/>
            <w:hideMark/>
          </w:tcPr>
          <w:p w14:paraId="1A4DE05E" w14:textId="77777777" w:rsidR="00BD4D02" w:rsidRPr="00BD4D02" w:rsidRDefault="00BD4D02" w:rsidP="00BD4D02">
            <w:pPr>
              <w:rPr>
                <w:sz w:val="20"/>
                <w:szCs w:val="20"/>
              </w:rPr>
            </w:pPr>
          </w:p>
        </w:tc>
        <w:tc>
          <w:tcPr>
            <w:tcW w:w="663" w:type="dxa"/>
            <w:shd w:val="clear" w:color="auto" w:fill="auto"/>
            <w:noWrap/>
            <w:vAlign w:val="bottom"/>
            <w:hideMark/>
          </w:tcPr>
          <w:p w14:paraId="38A52BF3" w14:textId="77777777" w:rsidR="00BD4D02" w:rsidRPr="00BD4D02" w:rsidRDefault="00BD4D02" w:rsidP="00BD4D02">
            <w:pPr>
              <w:rPr>
                <w:sz w:val="20"/>
                <w:szCs w:val="20"/>
              </w:rPr>
            </w:pPr>
          </w:p>
        </w:tc>
        <w:tc>
          <w:tcPr>
            <w:tcW w:w="663" w:type="dxa"/>
            <w:shd w:val="clear" w:color="auto" w:fill="auto"/>
            <w:noWrap/>
            <w:vAlign w:val="bottom"/>
            <w:hideMark/>
          </w:tcPr>
          <w:p w14:paraId="3393CCCA" w14:textId="77777777" w:rsidR="00BD4D02" w:rsidRPr="00BD4D02" w:rsidRDefault="00BD4D02" w:rsidP="00BD4D02">
            <w:pPr>
              <w:rPr>
                <w:sz w:val="20"/>
                <w:szCs w:val="20"/>
              </w:rPr>
            </w:pPr>
          </w:p>
        </w:tc>
        <w:tc>
          <w:tcPr>
            <w:tcW w:w="663" w:type="dxa"/>
            <w:shd w:val="clear" w:color="auto" w:fill="auto"/>
            <w:noWrap/>
            <w:vAlign w:val="bottom"/>
            <w:hideMark/>
          </w:tcPr>
          <w:p w14:paraId="48242E1C"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1180" w:type="dxa"/>
            <w:shd w:val="clear" w:color="auto" w:fill="auto"/>
            <w:noWrap/>
            <w:vAlign w:val="bottom"/>
            <w:hideMark/>
          </w:tcPr>
          <w:p w14:paraId="2F09C203"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0433C254" w14:textId="77777777" w:rsidTr="00050580">
        <w:trPr>
          <w:trHeight w:val="144"/>
        </w:trPr>
        <w:tc>
          <w:tcPr>
            <w:tcW w:w="4500" w:type="dxa"/>
            <w:shd w:val="clear" w:color="auto" w:fill="auto"/>
            <w:noWrap/>
            <w:vAlign w:val="bottom"/>
            <w:hideMark/>
          </w:tcPr>
          <w:p w14:paraId="47F7183B"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Connections - number</w:t>
            </w:r>
          </w:p>
        </w:tc>
        <w:tc>
          <w:tcPr>
            <w:tcW w:w="770" w:type="dxa"/>
            <w:shd w:val="clear" w:color="auto" w:fill="auto"/>
            <w:noWrap/>
            <w:vAlign w:val="bottom"/>
            <w:hideMark/>
          </w:tcPr>
          <w:p w14:paraId="6D695DA8"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7E3AE825" w14:textId="77777777" w:rsidR="00BD4D02" w:rsidRPr="00BD4D02" w:rsidRDefault="00BD4D02" w:rsidP="00BD4D02">
            <w:pPr>
              <w:rPr>
                <w:sz w:val="20"/>
                <w:szCs w:val="20"/>
              </w:rPr>
            </w:pPr>
          </w:p>
        </w:tc>
        <w:tc>
          <w:tcPr>
            <w:tcW w:w="663" w:type="dxa"/>
            <w:shd w:val="clear" w:color="auto" w:fill="auto"/>
            <w:noWrap/>
            <w:vAlign w:val="bottom"/>
            <w:hideMark/>
          </w:tcPr>
          <w:p w14:paraId="34E8C5DC" w14:textId="77777777" w:rsidR="00BD4D02" w:rsidRPr="00BD4D02" w:rsidRDefault="00BD4D02" w:rsidP="00BD4D02">
            <w:pPr>
              <w:rPr>
                <w:sz w:val="20"/>
                <w:szCs w:val="20"/>
              </w:rPr>
            </w:pPr>
          </w:p>
        </w:tc>
        <w:tc>
          <w:tcPr>
            <w:tcW w:w="663" w:type="dxa"/>
            <w:shd w:val="clear" w:color="auto" w:fill="auto"/>
            <w:noWrap/>
            <w:vAlign w:val="bottom"/>
            <w:hideMark/>
          </w:tcPr>
          <w:p w14:paraId="60FB4A7C" w14:textId="77777777" w:rsidR="00BD4D02" w:rsidRPr="00BD4D02" w:rsidRDefault="00BD4D02" w:rsidP="00BD4D02">
            <w:pPr>
              <w:rPr>
                <w:sz w:val="20"/>
                <w:szCs w:val="20"/>
              </w:rPr>
            </w:pPr>
          </w:p>
        </w:tc>
        <w:tc>
          <w:tcPr>
            <w:tcW w:w="663" w:type="dxa"/>
            <w:shd w:val="clear" w:color="auto" w:fill="auto"/>
            <w:noWrap/>
            <w:vAlign w:val="bottom"/>
            <w:hideMark/>
          </w:tcPr>
          <w:p w14:paraId="23654E6A" w14:textId="77777777" w:rsidR="00BD4D02" w:rsidRPr="00BD4D02" w:rsidRDefault="00BD4D02" w:rsidP="00BD4D02">
            <w:pPr>
              <w:rPr>
                <w:sz w:val="20"/>
                <w:szCs w:val="20"/>
              </w:rPr>
            </w:pPr>
          </w:p>
        </w:tc>
        <w:tc>
          <w:tcPr>
            <w:tcW w:w="663" w:type="dxa"/>
            <w:shd w:val="clear" w:color="auto" w:fill="auto"/>
            <w:noWrap/>
            <w:vAlign w:val="bottom"/>
            <w:hideMark/>
          </w:tcPr>
          <w:p w14:paraId="007E0A69"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7E61FFB5"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109BD159"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44BAF576" w14:textId="77777777" w:rsidR="00BD4D02" w:rsidRPr="00BD4D02" w:rsidRDefault="00BD4D02" w:rsidP="00BD4D02">
            <w:pPr>
              <w:rPr>
                <w:sz w:val="20"/>
                <w:szCs w:val="20"/>
              </w:rPr>
            </w:pPr>
          </w:p>
        </w:tc>
        <w:tc>
          <w:tcPr>
            <w:tcW w:w="663" w:type="dxa"/>
            <w:shd w:val="clear" w:color="auto" w:fill="auto"/>
            <w:noWrap/>
            <w:vAlign w:val="bottom"/>
            <w:hideMark/>
          </w:tcPr>
          <w:p w14:paraId="53677733" w14:textId="77777777" w:rsidR="00BD4D02" w:rsidRPr="00BD4D02" w:rsidRDefault="00BD4D02" w:rsidP="00BD4D02">
            <w:pPr>
              <w:rPr>
                <w:sz w:val="20"/>
                <w:szCs w:val="20"/>
              </w:rPr>
            </w:pPr>
          </w:p>
        </w:tc>
        <w:tc>
          <w:tcPr>
            <w:tcW w:w="663" w:type="dxa"/>
            <w:shd w:val="clear" w:color="auto" w:fill="auto"/>
            <w:noWrap/>
            <w:vAlign w:val="bottom"/>
            <w:hideMark/>
          </w:tcPr>
          <w:p w14:paraId="4354B65F" w14:textId="77777777" w:rsidR="00BD4D02" w:rsidRPr="00BD4D02" w:rsidRDefault="00BD4D02" w:rsidP="00BD4D02">
            <w:pPr>
              <w:rPr>
                <w:sz w:val="20"/>
                <w:szCs w:val="20"/>
              </w:rPr>
            </w:pPr>
          </w:p>
        </w:tc>
        <w:tc>
          <w:tcPr>
            <w:tcW w:w="663" w:type="dxa"/>
            <w:shd w:val="clear" w:color="auto" w:fill="auto"/>
            <w:noWrap/>
            <w:vAlign w:val="bottom"/>
            <w:hideMark/>
          </w:tcPr>
          <w:p w14:paraId="23E521FF" w14:textId="77777777" w:rsidR="00BD4D02" w:rsidRPr="00BD4D02" w:rsidRDefault="00BD4D02" w:rsidP="00BD4D02">
            <w:pPr>
              <w:rPr>
                <w:sz w:val="20"/>
                <w:szCs w:val="20"/>
              </w:rPr>
            </w:pPr>
          </w:p>
        </w:tc>
        <w:tc>
          <w:tcPr>
            <w:tcW w:w="1180" w:type="dxa"/>
            <w:shd w:val="clear" w:color="auto" w:fill="auto"/>
            <w:noWrap/>
            <w:vAlign w:val="bottom"/>
            <w:hideMark/>
          </w:tcPr>
          <w:p w14:paraId="2855F20E"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r>
      <w:tr w:rsidR="00BD4D02" w:rsidRPr="00BD4D02" w14:paraId="4B3E4067" w14:textId="77777777" w:rsidTr="00050580">
        <w:trPr>
          <w:trHeight w:val="144"/>
        </w:trPr>
        <w:tc>
          <w:tcPr>
            <w:tcW w:w="4500" w:type="dxa"/>
            <w:shd w:val="clear" w:color="auto" w:fill="auto"/>
            <w:noWrap/>
            <w:vAlign w:val="bottom"/>
            <w:hideMark/>
          </w:tcPr>
          <w:p w14:paraId="50B2CFAE"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Convergence</w:t>
            </w:r>
          </w:p>
        </w:tc>
        <w:tc>
          <w:tcPr>
            <w:tcW w:w="770" w:type="dxa"/>
            <w:shd w:val="clear" w:color="auto" w:fill="auto"/>
            <w:noWrap/>
            <w:vAlign w:val="bottom"/>
            <w:hideMark/>
          </w:tcPr>
          <w:p w14:paraId="76D624C4"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104D7C40"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07A45F45"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47E7A080"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1C051E73"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0B6DF45A"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1443DA9E" w14:textId="77777777" w:rsidR="00BD4D02" w:rsidRPr="00BD4D02" w:rsidRDefault="00BD4D02" w:rsidP="00BD4D02">
            <w:pPr>
              <w:rPr>
                <w:sz w:val="20"/>
                <w:szCs w:val="20"/>
              </w:rPr>
            </w:pPr>
          </w:p>
        </w:tc>
        <w:tc>
          <w:tcPr>
            <w:tcW w:w="663" w:type="dxa"/>
            <w:shd w:val="clear" w:color="auto" w:fill="auto"/>
            <w:noWrap/>
            <w:vAlign w:val="bottom"/>
            <w:hideMark/>
          </w:tcPr>
          <w:p w14:paraId="0A26A28A" w14:textId="77777777" w:rsidR="00BD4D02" w:rsidRPr="00BD4D02" w:rsidRDefault="00BD4D02" w:rsidP="00BD4D02">
            <w:pPr>
              <w:rPr>
                <w:sz w:val="20"/>
                <w:szCs w:val="20"/>
              </w:rPr>
            </w:pPr>
          </w:p>
        </w:tc>
        <w:tc>
          <w:tcPr>
            <w:tcW w:w="663" w:type="dxa"/>
            <w:shd w:val="clear" w:color="auto" w:fill="auto"/>
            <w:noWrap/>
            <w:vAlign w:val="bottom"/>
            <w:hideMark/>
          </w:tcPr>
          <w:p w14:paraId="07363206" w14:textId="77777777" w:rsidR="00BD4D02" w:rsidRPr="00BD4D02" w:rsidRDefault="00BD4D02" w:rsidP="00BD4D02">
            <w:pPr>
              <w:rPr>
                <w:sz w:val="20"/>
                <w:szCs w:val="20"/>
              </w:rPr>
            </w:pPr>
          </w:p>
        </w:tc>
        <w:tc>
          <w:tcPr>
            <w:tcW w:w="663" w:type="dxa"/>
            <w:shd w:val="clear" w:color="auto" w:fill="auto"/>
            <w:noWrap/>
            <w:vAlign w:val="bottom"/>
            <w:hideMark/>
          </w:tcPr>
          <w:p w14:paraId="4529B1E6" w14:textId="77777777" w:rsidR="00BD4D02" w:rsidRPr="00BD4D02" w:rsidRDefault="00BD4D02" w:rsidP="00BD4D02">
            <w:pPr>
              <w:rPr>
                <w:sz w:val="20"/>
                <w:szCs w:val="20"/>
              </w:rPr>
            </w:pPr>
          </w:p>
        </w:tc>
        <w:tc>
          <w:tcPr>
            <w:tcW w:w="663" w:type="dxa"/>
            <w:shd w:val="clear" w:color="auto" w:fill="auto"/>
            <w:noWrap/>
            <w:vAlign w:val="bottom"/>
            <w:hideMark/>
          </w:tcPr>
          <w:p w14:paraId="6B9A945A" w14:textId="77777777" w:rsidR="00BD4D02" w:rsidRPr="00BD4D02" w:rsidRDefault="00BD4D02" w:rsidP="00BD4D02">
            <w:pPr>
              <w:rPr>
                <w:sz w:val="20"/>
                <w:szCs w:val="20"/>
              </w:rPr>
            </w:pPr>
          </w:p>
        </w:tc>
        <w:tc>
          <w:tcPr>
            <w:tcW w:w="663" w:type="dxa"/>
            <w:shd w:val="clear" w:color="auto" w:fill="auto"/>
            <w:noWrap/>
            <w:vAlign w:val="bottom"/>
            <w:hideMark/>
          </w:tcPr>
          <w:p w14:paraId="243A2BB2" w14:textId="77777777" w:rsidR="00BD4D02" w:rsidRPr="00BD4D02" w:rsidRDefault="00BD4D02" w:rsidP="00BD4D02">
            <w:pPr>
              <w:rPr>
                <w:sz w:val="20"/>
                <w:szCs w:val="20"/>
              </w:rPr>
            </w:pPr>
          </w:p>
        </w:tc>
        <w:tc>
          <w:tcPr>
            <w:tcW w:w="1180" w:type="dxa"/>
            <w:shd w:val="clear" w:color="auto" w:fill="auto"/>
            <w:noWrap/>
            <w:vAlign w:val="bottom"/>
            <w:hideMark/>
          </w:tcPr>
          <w:p w14:paraId="66AB0DD3"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5</w:t>
            </w:r>
          </w:p>
        </w:tc>
      </w:tr>
      <w:tr w:rsidR="00BD4D02" w:rsidRPr="00BD4D02" w14:paraId="5DC08DA1" w14:textId="77777777" w:rsidTr="00050580">
        <w:trPr>
          <w:trHeight w:val="144"/>
        </w:trPr>
        <w:tc>
          <w:tcPr>
            <w:tcW w:w="4500" w:type="dxa"/>
            <w:shd w:val="clear" w:color="auto" w:fill="auto"/>
            <w:noWrap/>
            <w:vAlign w:val="bottom"/>
            <w:hideMark/>
          </w:tcPr>
          <w:p w14:paraId="2E3986B6"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Performance indicators</w:t>
            </w:r>
          </w:p>
        </w:tc>
        <w:tc>
          <w:tcPr>
            <w:tcW w:w="770" w:type="dxa"/>
            <w:shd w:val="clear" w:color="auto" w:fill="auto"/>
            <w:noWrap/>
            <w:vAlign w:val="bottom"/>
            <w:hideMark/>
          </w:tcPr>
          <w:p w14:paraId="6FF1BF0B"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283AFB6A" w14:textId="77777777" w:rsidR="00BD4D02" w:rsidRPr="00BD4D02" w:rsidRDefault="00BD4D02" w:rsidP="00BD4D02">
            <w:pPr>
              <w:rPr>
                <w:sz w:val="20"/>
                <w:szCs w:val="20"/>
              </w:rPr>
            </w:pPr>
          </w:p>
        </w:tc>
        <w:tc>
          <w:tcPr>
            <w:tcW w:w="663" w:type="dxa"/>
            <w:shd w:val="clear" w:color="auto" w:fill="auto"/>
            <w:noWrap/>
            <w:vAlign w:val="bottom"/>
            <w:hideMark/>
          </w:tcPr>
          <w:p w14:paraId="79CBD311" w14:textId="77777777" w:rsidR="00BD4D02" w:rsidRPr="00BD4D02" w:rsidRDefault="00BD4D02" w:rsidP="00BD4D02">
            <w:pPr>
              <w:rPr>
                <w:sz w:val="20"/>
                <w:szCs w:val="20"/>
              </w:rPr>
            </w:pPr>
          </w:p>
        </w:tc>
        <w:tc>
          <w:tcPr>
            <w:tcW w:w="663" w:type="dxa"/>
            <w:shd w:val="clear" w:color="auto" w:fill="auto"/>
            <w:noWrap/>
            <w:vAlign w:val="bottom"/>
            <w:hideMark/>
          </w:tcPr>
          <w:p w14:paraId="1B6D30E8" w14:textId="77777777" w:rsidR="00BD4D02" w:rsidRPr="00BD4D02" w:rsidRDefault="00BD4D02" w:rsidP="00BD4D02">
            <w:pPr>
              <w:rPr>
                <w:sz w:val="20"/>
                <w:szCs w:val="20"/>
              </w:rPr>
            </w:pPr>
          </w:p>
        </w:tc>
        <w:tc>
          <w:tcPr>
            <w:tcW w:w="663" w:type="dxa"/>
            <w:shd w:val="clear" w:color="auto" w:fill="auto"/>
            <w:noWrap/>
            <w:vAlign w:val="bottom"/>
            <w:hideMark/>
          </w:tcPr>
          <w:p w14:paraId="46FA0654" w14:textId="77777777" w:rsidR="00BD4D02" w:rsidRPr="00BD4D02" w:rsidRDefault="00BD4D02" w:rsidP="00BD4D02">
            <w:pPr>
              <w:rPr>
                <w:sz w:val="20"/>
                <w:szCs w:val="20"/>
              </w:rPr>
            </w:pPr>
          </w:p>
        </w:tc>
        <w:tc>
          <w:tcPr>
            <w:tcW w:w="663" w:type="dxa"/>
            <w:shd w:val="clear" w:color="auto" w:fill="auto"/>
            <w:noWrap/>
            <w:vAlign w:val="bottom"/>
            <w:hideMark/>
          </w:tcPr>
          <w:p w14:paraId="00D19A63" w14:textId="77777777" w:rsidR="00BD4D02" w:rsidRPr="00BD4D02" w:rsidRDefault="00BD4D02" w:rsidP="00BD4D02">
            <w:pPr>
              <w:rPr>
                <w:sz w:val="20"/>
                <w:szCs w:val="20"/>
              </w:rPr>
            </w:pPr>
          </w:p>
        </w:tc>
        <w:tc>
          <w:tcPr>
            <w:tcW w:w="663" w:type="dxa"/>
            <w:shd w:val="clear" w:color="auto" w:fill="auto"/>
            <w:noWrap/>
            <w:vAlign w:val="bottom"/>
            <w:hideMark/>
          </w:tcPr>
          <w:p w14:paraId="041C8197" w14:textId="77777777" w:rsidR="00BD4D02" w:rsidRPr="00BD4D02" w:rsidRDefault="00BD4D02" w:rsidP="00BD4D02">
            <w:pPr>
              <w:rPr>
                <w:sz w:val="20"/>
                <w:szCs w:val="20"/>
              </w:rPr>
            </w:pPr>
          </w:p>
        </w:tc>
        <w:tc>
          <w:tcPr>
            <w:tcW w:w="663" w:type="dxa"/>
            <w:shd w:val="clear" w:color="auto" w:fill="auto"/>
            <w:noWrap/>
            <w:vAlign w:val="bottom"/>
            <w:hideMark/>
          </w:tcPr>
          <w:p w14:paraId="54A4251E"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3830DC21"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4579AB9D" w14:textId="77777777" w:rsidR="00BD4D02" w:rsidRPr="00BD4D02" w:rsidRDefault="00BD4D02" w:rsidP="00BD4D02">
            <w:pPr>
              <w:rPr>
                <w:sz w:val="20"/>
                <w:szCs w:val="20"/>
              </w:rPr>
            </w:pPr>
          </w:p>
        </w:tc>
        <w:tc>
          <w:tcPr>
            <w:tcW w:w="663" w:type="dxa"/>
            <w:shd w:val="clear" w:color="auto" w:fill="auto"/>
            <w:noWrap/>
            <w:vAlign w:val="bottom"/>
            <w:hideMark/>
          </w:tcPr>
          <w:p w14:paraId="67B986C4" w14:textId="77777777" w:rsidR="00BD4D02" w:rsidRPr="00BD4D02" w:rsidRDefault="00BD4D02" w:rsidP="00BD4D02">
            <w:pPr>
              <w:rPr>
                <w:sz w:val="20"/>
                <w:szCs w:val="20"/>
              </w:rPr>
            </w:pPr>
          </w:p>
        </w:tc>
        <w:tc>
          <w:tcPr>
            <w:tcW w:w="663" w:type="dxa"/>
            <w:shd w:val="clear" w:color="auto" w:fill="auto"/>
            <w:noWrap/>
            <w:vAlign w:val="bottom"/>
            <w:hideMark/>
          </w:tcPr>
          <w:p w14:paraId="5373FA26" w14:textId="77777777" w:rsidR="00BD4D02" w:rsidRPr="00BD4D02" w:rsidRDefault="00BD4D02" w:rsidP="00BD4D02">
            <w:pPr>
              <w:rPr>
                <w:sz w:val="20"/>
                <w:szCs w:val="20"/>
              </w:rPr>
            </w:pPr>
          </w:p>
        </w:tc>
        <w:tc>
          <w:tcPr>
            <w:tcW w:w="1180" w:type="dxa"/>
            <w:shd w:val="clear" w:color="auto" w:fill="auto"/>
            <w:noWrap/>
            <w:vAlign w:val="bottom"/>
            <w:hideMark/>
          </w:tcPr>
          <w:p w14:paraId="235061B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0440B258" w14:textId="77777777" w:rsidTr="00050580">
        <w:trPr>
          <w:trHeight w:val="144"/>
        </w:trPr>
        <w:tc>
          <w:tcPr>
            <w:tcW w:w="4500" w:type="dxa"/>
            <w:shd w:val="clear" w:color="auto" w:fill="auto"/>
            <w:noWrap/>
            <w:vAlign w:val="bottom"/>
            <w:hideMark/>
          </w:tcPr>
          <w:p w14:paraId="3F063A85"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Services in the home</w:t>
            </w:r>
          </w:p>
        </w:tc>
        <w:tc>
          <w:tcPr>
            <w:tcW w:w="770" w:type="dxa"/>
            <w:shd w:val="clear" w:color="auto" w:fill="auto"/>
            <w:noWrap/>
            <w:vAlign w:val="bottom"/>
            <w:hideMark/>
          </w:tcPr>
          <w:p w14:paraId="6CFFE2C5"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2FAB9355" w14:textId="77777777" w:rsidR="00BD4D02" w:rsidRPr="00BD4D02" w:rsidRDefault="00BD4D02" w:rsidP="00BD4D02">
            <w:pPr>
              <w:rPr>
                <w:sz w:val="20"/>
                <w:szCs w:val="20"/>
              </w:rPr>
            </w:pPr>
          </w:p>
        </w:tc>
        <w:tc>
          <w:tcPr>
            <w:tcW w:w="663" w:type="dxa"/>
            <w:shd w:val="clear" w:color="auto" w:fill="auto"/>
            <w:noWrap/>
            <w:vAlign w:val="bottom"/>
            <w:hideMark/>
          </w:tcPr>
          <w:p w14:paraId="643FEFC8" w14:textId="77777777" w:rsidR="00BD4D02" w:rsidRPr="00BD4D02" w:rsidRDefault="00BD4D02" w:rsidP="00BD4D02">
            <w:pPr>
              <w:rPr>
                <w:sz w:val="20"/>
                <w:szCs w:val="20"/>
              </w:rPr>
            </w:pPr>
          </w:p>
        </w:tc>
        <w:tc>
          <w:tcPr>
            <w:tcW w:w="663" w:type="dxa"/>
            <w:shd w:val="clear" w:color="auto" w:fill="auto"/>
            <w:noWrap/>
            <w:vAlign w:val="bottom"/>
            <w:hideMark/>
          </w:tcPr>
          <w:p w14:paraId="03DEA593"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0F82AAAF"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22DAAA7B" w14:textId="77777777" w:rsidR="00BD4D02" w:rsidRPr="00BD4D02" w:rsidRDefault="00BD4D02" w:rsidP="00BD4D02">
            <w:pPr>
              <w:rPr>
                <w:sz w:val="20"/>
                <w:szCs w:val="20"/>
              </w:rPr>
            </w:pPr>
          </w:p>
        </w:tc>
        <w:tc>
          <w:tcPr>
            <w:tcW w:w="663" w:type="dxa"/>
            <w:shd w:val="clear" w:color="auto" w:fill="auto"/>
            <w:noWrap/>
            <w:vAlign w:val="bottom"/>
            <w:hideMark/>
          </w:tcPr>
          <w:p w14:paraId="39CAFF49" w14:textId="77777777" w:rsidR="00BD4D02" w:rsidRPr="00BD4D02" w:rsidRDefault="00BD4D02" w:rsidP="00BD4D02">
            <w:pPr>
              <w:rPr>
                <w:sz w:val="20"/>
                <w:szCs w:val="20"/>
              </w:rPr>
            </w:pPr>
          </w:p>
        </w:tc>
        <w:tc>
          <w:tcPr>
            <w:tcW w:w="663" w:type="dxa"/>
            <w:shd w:val="clear" w:color="auto" w:fill="auto"/>
            <w:noWrap/>
            <w:vAlign w:val="bottom"/>
            <w:hideMark/>
          </w:tcPr>
          <w:p w14:paraId="3BB05BC0" w14:textId="77777777" w:rsidR="00BD4D02" w:rsidRPr="00BD4D02" w:rsidRDefault="00BD4D02" w:rsidP="00BD4D02">
            <w:pPr>
              <w:rPr>
                <w:sz w:val="20"/>
                <w:szCs w:val="20"/>
              </w:rPr>
            </w:pPr>
          </w:p>
        </w:tc>
        <w:tc>
          <w:tcPr>
            <w:tcW w:w="663" w:type="dxa"/>
            <w:shd w:val="clear" w:color="auto" w:fill="auto"/>
            <w:noWrap/>
            <w:vAlign w:val="bottom"/>
            <w:hideMark/>
          </w:tcPr>
          <w:p w14:paraId="77BCB27B" w14:textId="77777777" w:rsidR="00BD4D02" w:rsidRPr="00BD4D02" w:rsidRDefault="00BD4D02" w:rsidP="00BD4D02">
            <w:pPr>
              <w:rPr>
                <w:sz w:val="20"/>
                <w:szCs w:val="20"/>
              </w:rPr>
            </w:pPr>
          </w:p>
        </w:tc>
        <w:tc>
          <w:tcPr>
            <w:tcW w:w="663" w:type="dxa"/>
            <w:shd w:val="clear" w:color="auto" w:fill="auto"/>
            <w:noWrap/>
            <w:vAlign w:val="bottom"/>
            <w:hideMark/>
          </w:tcPr>
          <w:p w14:paraId="1D1821CE" w14:textId="77777777" w:rsidR="00BD4D02" w:rsidRPr="00BD4D02" w:rsidRDefault="00BD4D02" w:rsidP="00BD4D02">
            <w:pPr>
              <w:rPr>
                <w:sz w:val="20"/>
                <w:szCs w:val="20"/>
              </w:rPr>
            </w:pPr>
          </w:p>
        </w:tc>
        <w:tc>
          <w:tcPr>
            <w:tcW w:w="663" w:type="dxa"/>
            <w:shd w:val="clear" w:color="auto" w:fill="auto"/>
            <w:noWrap/>
            <w:vAlign w:val="bottom"/>
            <w:hideMark/>
          </w:tcPr>
          <w:p w14:paraId="41D59EE6" w14:textId="77777777" w:rsidR="00BD4D02" w:rsidRPr="00BD4D02" w:rsidRDefault="00BD4D02" w:rsidP="00BD4D02">
            <w:pPr>
              <w:rPr>
                <w:sz w:val="20"/>
                <w:szCs w:val="20"/>
              </w:rPr>
            </w:pPr>
          </w:p>
        </w:tc>
        <w:tc>
          <w:tcPr>
            <w:tcW w:w="663" w:type="dxa"/>
            <w:shd w:val="clear" w:color="auto" w:fill="auto"/>
            <w:noWrap/>
            <w:vAlign w:val="bottom"/>
            <w:hideMark/>
          </w:tcPr>
          <w:p w14:paraId="3B3DA6D6" w14:textId="77777777" w:rsidR="00BD4D02" w:rsidRPr="00BD4D02" w:rsidRDefault="00BD4D02" w:rsidP="00BD4D02">
            <w:pPr>
              <w:rPr>
                <w:sz w:val="20"/>
                <w:szCs w:val="20"/>
              </w:rPr>
            </w:pPr>
          </w:p>
        </w:tc>
        <w:tc>
          <w:tcPr>
            <w:tcW w:w="1180" w:type="dxa"/>
            <w:shd w:val="clear" w:color="auto" w:fill="auto"/>
            <w:noWrap/>
            <w:vAlign w:val="bottom"/>
            <w:hideMark/>
          </w:tcPr>
          <w:p w14:paraId="47362BF2"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r>
      <w:tr w:rsidR="00BD4D02" w:rsidRPr="00BD4D02" w14:paraId="5B3539D9" w14:textId="77777777" w:rsidTr="00050580">
        <w:trPr>
          <w:trHeight w:val="144"/>
        </w:trPr>
        <w:tc>
          <w:tcPr>
            <w:tcW w:w="4500" w:type="dxa"/>
            <w:shd w:val="clear" w:color="auto" w:fill="auto"/>
            <w:noWrap/>
            <w:vAlign w:val="bottom"/>
            <w:hideMark/>
          </w:tcPr>
          <w:p w14:paraId="41067BC3" w14:textId="77777777" w:rsidR="00BD4D02" w:rsidRPr="00BD4D02" w:rsidRDefault="00BD4D02" w:rsidP="00BD4D02">
            <w:pPr>
              <w:ind w:firstLineChars="100" w:firstLine="201"/>
              <w:rPr>
                <w:rFonts w:ascii="Calibri" w:hAnsi="Calibri" w:cs="Calibri"/>
                <w:b/>
                <w:bCs/>
                <w:color w:val="000000"/>
                <w:sz w:val="20"/>
                <w:szCs w:val="20"/>
              </w:rPr>
            </w:pPr>
            <w:r w:rsidRPr="00BD4D02">
              <w:rPr>
                <w:rFonts w:ascii="Calibri" w:hAnsi="Calibri" w:cs="Calibri"/>
                <w:b/>
                <w:bCs/>
                <w:color w:val="000000"/>
                <w:sz w:val="20"/>
                <w:szCs w:val="20"/>
              </w:rPr>
              <w:t xml:space="preserve">Availability - broadcasting </w:t>
            </w:r>
          </w:p>
        </w:tc>
        <w:tc>
          <w:tcPr>
            <w:tcW w:w="770" w:type="dxa"/>
            <w:shd w:val="clear" w:color="auto" w:fill="auto"/>
            <w:noWrap/>
            <w:vAlign w:val="bottom"/>
            <w:hideMark/>
          </w:tcPr>
          <w:p w14:paraId="30C6BE9C" w14:textId="77777777" w:rsidR="00BD4D02" w:rsidRPr="00BD4D02" w:rsidRDefault="00BD4D02" w:rsidP="00BD4D02">
            <w:pPr>
              <w:ind w:firstLineChars="100" w:firstLine="201"/>
              <w:rPr>
                <w:rFonts w:ascii="Calibri" w:hAnsi="Calibri" w:cs="Calibri"/>
                <w:b/>
                <w:bCs/>
                <w:color w:val="000000"/>
                <w:sz w:val="20"/>
                <w:szCs w:val="20"/>
              </w:rPr>
            </w:pPr>
          </w:p>
        </w:tc>
        <w:tc>
          <w:tcPr>
            <w:tcW w:w="663" w:type="dxa"/>
            <w:shd w:val="clear" w:color="auto" w:fill="auto"/>
            <w:noWrap/>
            <w:vAlign w:val="bottom"/>
            <w:hideMark/>
          </w:tcPr>
          <w:p w14:paraId="538B272F" w14:textId="77777777" w:rsidR="00BD4D02" w:rsidRPr="00BD4D02" w:rsidRDefault="00BD4D02" w:rsidP="00BD4D02">
            <w:pPr>
              <w:rPr>
                <w:sz w:val="20"/>
                <w:szCs w:val="20"/>
              </w:rPr>
            </w:pPr>
          </w:p>
        </w:tc>
        <w:tc>
          <w:tcPr>
            <w:tcW w:w="663" w:type="dxa"/>
            <w:shd w:val="clear" w:color="auto" w:fill="auto"/>
            <w:noWrap/>
            <w:vAlign w:val="bottom"/>
            <w:hideMark/>
          </w:tcPr>
          <w:p w14:paraId="1C6B1EFA" w14:textId="77777777" w:rsidR="00BD4D02" w:rsidRPr="00BD4D02" w:rsidRDefault="00BD4D02" w:rsidP="00BD4D02">
            <w:pPr>
              <w:rPr>
                <w:sz w:val="20"/>
                <w:szCs w:val="20"/>
              </w:rPr>
            </w:pPr>
          </w:p>
        </w:tc>
        <w:tc>
          <w:tcPr>
            <w:tcW w:w="663" w:type="dxa"/>
            <w:shd w:val="clear" w:color="auto" w:fill="auto"/>
            <w:noWrap/>
            <w:vAlign w:val="bottom"/>
            <w:hideMark/>
          </w:tcPr>
          <w:p w14:paraId="54901BAF" w14:textId="77777777" w:rsidR="00BD4D02" w:rsidRPr="00BD4D02" w:rsidRDefault="00BD4D02" w:rsidP="00BD4D02">
            <w:pPr>
              <w:rPr>
                <w:sz w:val="20"/>
                <w:szCs w:val="20"/>
              </w:rPr>
            </w:pPr>
          </w:p>
        </w:tc>
        <w:tc>
          <w:tcPr>
            <w:tcW w:w="663" w:type="dxa"/>
            <w:shd w:val="clear" w:color="auto" w:fill="auto"/>
            <w:noWrap/>
            <w:vAlign w:val="bottom"/>
            <w:hideMark/>
          </w:tcPr>
          <w:p w14:paraId="3782F1A0" w14:textId="77777777" w:rsidR="00BD4D02" w:rsidRPr="00BD4D02" w:rsidRDefault="00BD4D02" w:rsidP="00BD4D02">
            <w:pPr>
              <w:rPr>
                <w:sz w:val="20"/>
                <w:szCs w:val="20"/>
              </w:rPr>
            </w:pPr>
          </w:p>
        </w:tc>
        <w:tc>
          <w:tcPr>
            <w:tcW w:w="663" w:type="dxa"/>
            <w:shd w:val="clear" w:color="auto" w:fill="auto"/>
            <w:noWrap/>
            <w:vAlign w:val="bottom"/>
            <w:hideMark/>
          </w:tcPr>
          <w:p w14:paraId="357C53ED" w14:textId="77777777" w:rsidR="00BD4D02" w:rsidRPr="00BD4D02" w:rsidRDefault="00BD4D02" w:rsidP="00BD4D02">
            <w:pPr>
              <w:rPr>
                <w:sz w:val="20"/>
                <w:szCs w:val="20"/>
              </w:rPr>
            </w:pPr>
          </w:p>
        </w:tc>
        <w:tc>
          <w:tcPr>
            <w:tcW w:w="663" w:type="dxa"/>
            <w:shd w:val="clear" w:color="auto" w:fill="auto"/>
            <w:noWrap/>
            <w:vAlign w:val="bottom"/>
            <w:hideMark/>
          </w:tcPr>
          <w:p w14:paraId="7DAC8BE7"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2</w:t>
            </w:r>
          </w:p>
        </w:tc>
        <w:tc>
          <w:tcPr>
            <w:tcW w:w="663" w:type="dxa"/>
            <w:shd w:val="clear" w:color="auto" w:fill="auto"/>
            <w:noWrap/>
            <w:vAlign w:val="bottom"/>
            <w:hideMark/>
          </w:tcPr>
          <w:p w14:paraId="5F8010D5"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w:t>
            </w:r>
          </w:p>
        </w:tc>
        <w:tc>
          <w:tcPr>
            <w:tcW w:w="663" w:type="dxa"/>
            <w:shd w:val="clear" w:color="auto" w:fill="auto"/>
            <w:noWrap/>
            <w:vAlign w:val="bottom"/>
            <w:hideMark/>
          </w:tcPr>
          <w:p w14:paraId="4F129538" w14:textId="77777777" w:rsidR="00BD4D02" w:rsidRPr="00BD4D02" w:rsidRDefault="00BD4D02" w:rsidP="00BD4D02">
            <w:pPr>
              <w:jc w:val="right"/>
              <w:rPr>
                <w:rFonts w:ascii="Calibri" w:hAnsi="Calibri" w:cs="Calibri"/>
                <w:b/>
                <w:bCs/>
                <w:color w:val="000000"/>
                <w:sz w:val="20"/>
                <w:szCs w:val="20"/>
              </w:rPr>
            </w:pPr>
          </w:p>
        </w:tc>
        <w:tc>
          <w:tcPr>
            <w:tcW w:w="663" w:type="dxa"/>
            <w:shd w:val="clear" w:color="auto" w:fill="auto"/>
            <w:noWrap/>
            <w:vAlign w:val="bottom"/>
            <w:hideMark/>
          </w:tcPr>
          <w:p w14:paraId="16F35705"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w:t>
            </w:r>
          </w:p>
        </w:tc>
        <w:tc>
          <w:tcPr>
            <w:tcW w:w="663" w:type="dxa"/>
            <w:shd w:val="clear" w:color="auto" w:fill="auto"/>
            <w:noWrap/>
            <w:vAlign w:val="bottom"/>
            <w:hideMark/>
          </w:tcPr>
          <w:p w14:paraId="105E0DD9" w14:textId="77777777" w:rsidR="00BD4D02" w:rsidRPr="00BD4D02" w:rsidRDefault="00BD4D02" w:rsidP="00BD4D02">
            <w:pPr>
              <w:jc w:val="right"/>
              <w:rPr>
                <w:rFonts w:ascii="Calibri" w:hAnsi="Calibri" w:cs="Calibri"/>
                <w:b/>
                <w:bCs/>
                <w:color w:val="000000"/>
                <w:sz w:val="20"/>
                <w:szCs w:val="20"/>
              </w:rPr>
            </w:pPr>
          </w:p>
        </w:tc>
        <w:tc>
          <w:tcPr>
            <w:tcW w:w="663" w:type="dxa"/>
            <w:shd w:val="clear" w:color="auto" w:fill="auto"/>
            <w:noWrap/>
            <w:vAlign w:val="bottom"/>
            <w:hideMark/>
          </w:tcPr>
          <w:p w14:paraId="0345E5B3" w14:textId="77777777" w:rsidR="00BD4D02" w:rsidRPr="00BD4D02" w:rsidRDefault="00BD4D02" w:rsidP="00BD4D02">
            <w:pPr>
              <w:rPr>
                <w:sz w:val="20"/>
                <w:szCs w:val="20"/>
              </w:rPr>
            </w:pPr>
          </w:p>
        </w:tc>
        <w:tc>
          <w:tcPr>
            <w:tcW w:w="1180" w:type="dxa"/>
            <w:shd w:val="clear" w:color="auto" w:fill="auto"/>
            <w:noWrap/>
            <w:vAlign w:val="bottom"/>
            <w:hideMark/>
          </w:tcPr>
          <w:p w14:paraId="2B89A96B"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4</w:t>
            </w:r>
          </w:p>
        </w:tc>
      </w:tr>
      <w:tr w:rsidR="00BD4D02" w:rsidRPr="00BD4D02" w14:paraId="6D7AC320" w14:textId="77777777" w:rsidTr="00050580">
        <w:trPr>
          <w:trHeight w:val="144"/>
        </w:trPr>
        <w:tc>
          <w:tcPr>
            <w:tcW w:w="4500" w:type="dxa"/>
            <w:shd w:val="clear" w:color="auto" w:fill="auto"/>
            <w:noWrap/>
            <w:vAlign w:val="bottom"/>
            <w:hideMark/>
          </w:tcPr>
          <w:p w14:paraId="23F931B8"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Official language minorities</w:t>
            </w:r>
          </w:p>
        </w:tc>
        <w:tc>
          <w:tcPr>
            <w:tcW w:w="770" w:type="dxa"/>
            <w:shd w:val="clear" w:color="auto" w:fill="auto"/>
            <w:noWrap/>
            <w:vAlign w:val="bottom"/>
            <w:hideMark/>
          </w:tcPr>
          <w:p w14:paraId="29F52B4C"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3D8AD914" w14:textId="77777777" w:rsidR="00BD4D02" w:rsidRPr="00BD4D02" w:rsidRDefault="00BD4D02" w:rsidP="00BD4D02">
            <w:pPr>
              <w:rPr>
                <w:sz w:val="20"/>
                <w:szCs w:val="20"/>
              </w:rPr>
            </w:pPr>
          </w:p>
        </w:tc>
        <w:tc>
          <w:tcPr>
            <w:tcW w:w="663" w:type="dxa"/>
            <w:shd w:val="clear" w:color="auto" w:fill="auto"/>
            <w:noWrap/>
            <w:vAlign w:val="bottom"/>
            <w:hideMark/>
          </w:tcPr>
          <w:p w14:paraId="12B69F46" w14:textId="77777777" w:rsidR="00BD4D02" w:rsidRPr="00BD4D02" w:rsidRDefault="00BD4D02" w:rsidP="00BD4D02">
            <w:pPr>
              <w:rPr>
                <w:sz w:val="20"/>
                <w:szCs w:val="20"/>
              </w:rPr>
            </w:pPr>
          </w:p>
        </w:tc>
        <w:tc>
          <w:tcPr>
            <w:tcW w:w="663" w:type="dxa"/>
            <w:shd w:val="clear" w:color="auto" w:fill="auto"/>
            <w:noWrap/>
            <w:vAlign w:val="bottom"/>
            <w:hideMark/>
          </w:tcPr>
          <w:p w14:paraId="0308ED17" w14:textId="77777777" w:rsidR="00BD4D02" w:rsidRPr="00BD4D02" w:rsidRDefault="00BD4D02" w:rsidP="00BD4D02">
            <w:pPr>
              <w:rPr>
                <w:sz w:val="20"/>
                <w:szCs w:val="20"/>
              </w:rPr>
            </w:pPr>
          </w:p>
        </w:tc>
        <w:tc>
          <w:tcPr>
            <w:tcW w:w="663" w:type="dxa"/>
            <w:shd w:val="clear" w:color="auto" w:fill="auto"/>
            <w:noWrap/>
            <w:vAlign w:val="bottom"/>
            <w:hideMark/>
          </w:tcPr>
          <w:p w14:paraId="087C48BA" w14:textId="77777777" w:rsidR="00BD4D02" w:rsidRPr="00BD4D02" w:rsidRDefault="00BD4D02" w:rsidP="00BD4D02">
            <w:pPr>
              <w:rPr>
                <w:sz w:val="20"/>
                <w:szCs w:val="20"/>
              </w:rPr>
            </w:pPr>
          </w:p>
        </w:tc>
        <w:tc>
          <w:tcPr>
            <w:tcW w:w="663" w:type="dxa"/>
            <w:shd w:val="clear" w:color="auto" w:fill="auto"/>
            <w:noWrap/>
            <w:vAlign w:val="bottom"/>
            <w:hideMark/>
          </w:tcPr>
          <w:p w14:paraId="22FEB1FC" w14:textId="77777777" w:rsidR="00BD4D02" w:rsidRPr="00BD4D02" w:rsidRDefault="00BD4D02" w:rsidP="00BD4D02">
            <w:pPr>
              <w:rPr>
                <w:sz w:val="20"/>
                <w:szCs w:val="20"/>
              </w:rPr>
            </w:pPr>
          </w:p>
        </w:tc>
        <w:tc>
          <w:tcPr>
            <w:tcW w:w="663" w:type="dxa"/>
            <w:shd w:val="clear" w:color="auto" w:fill="auto"/>
            <w:noWrap/>
            <w:vAlign w:val="bottom"/>
            <w:hideMark/>
          </w:tcPr>
          <w:p w14:paraId="1FFED3AD"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0E0B54DA"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63C2E57B"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46EA7D4E"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2CD604C9"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298258A1" w14:textId="77777777" w:rsidR="00BD4D02" w:rsidRPr="00BD4D02" w:rsidRDefault="00BD4D02" w:rsidP="00BD4D02">
            <w:pPr>
              <w:rPr>
                <w:sz w:val="20"/>
                <w:szCs w:val="20"/>
              </w:rPr>
            </w:pPr>
          </w:p>
        </w:tc>
        <w:tc>
          <w:tcPr>
            <w:tcW w:w="1180" w:type="dxa"/>
            <w:shd w:val="clear" w:color="auto" w:fill="auto"/>
            <w:noWrap/>
            <w:vAlign w:val="bottom"/>
            <w:hideMark/>
          </w:tcPr>
          <w:p w14:paraId="088EE884"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4</w:t>
            </w:r>
          </w:p>
        </w:tc>
      </w:tr>
      <w:tr w:rsidR="00BD4D02" w:rsidRPr="00BD4D02" w14:paraId="72473154" w14:textId="77777777" w:rsidTr="00050580">
        <w:trPr>
          <w:trHeight w:val="144"/>
        </w:trPr>
        <w:tc>
          <w:tcPr>
            <w:tcW w:w="4500" w:type="dxa"/>
            <w:shd w:val="clear" w:color="auto" w:fill="auto"/>
            <w:noWrap/>
            <w:vAlign w:val="bottom"/>
            <w:hideMark/>
          </w:tcPr>
          <w:p w14:paraId="199CA527" w14:textId="77777777" w:rsidR="00BD4D02" w:rsidRPr="00BD4D02" w:rsidRDefault="00BD4D02" w:rsidP="00BD4D02">
            <w:pPr>
              <w:ind w:firstLineChars="100" w:firstLine="201"/>
              <w:rPr>
                <w:rFonts w:ascii="Calibri" w:hAnsi="Calibri" w:cs="Calibri"/>
                <w:b/>
                <w:bCs/>
                <w:color w:val="000000"/>
                <w:sz w:val="20"/>
                <w:szCs w:val="20"/>
              </w:rPr>
            </w:pPr>
            <w:r w:rsidRPr="00BD4D02">
              <w:rPr>
                <w:rFonts w:ascii="Calibri" w:hAnsi="Calibri" w:cs="Calibri"/>
                <w:b/>
                <w:bCs/>
                <w:color w:val="000000"/>
                <w:sz w:val="20"/>
                <w:szCs w:val="20"/>
              </w:rPr>
              <w:t>Affordability</w:t>
            </w:r>
          </w:p>
        </w:tc>
        <w:tc>
          <w:tcPr>
            <w:tcW w:w="770" w:type="dxa"/>
            <w:shd w:val="clear" w:color="auto" w:fill="auto"/>
            <w:noWrap/>
            <w:vAlign w:val="bottom"/>
            <w:hideMark/>
          </w:tcPr>
          <w:p w14:paraId="29788CD4"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w:t>
            </w:r>
          </w:p>
        </w:tc>
        <w:tc>
          <w:tcPr>
            <w:tcW w:w="663" w:type="dxa"/>
            <w:shd w:val="clear" w:color="auto" w:fill="auto"/>
            <w:noWrap/>
            <w:vAlign w:val="bottom"/>
            <w:hideMark/>
          </w:tcPr>
          <w:p w14:paraId="10BF7BAF" w14:textId="77777777" w:rsidR="00BD4D02" w:rsidRPr="00BD4D02" w:rsidRDefault="00BD4D02" w:rsidP="00BD4D02">
            <w:pPr>
              <w:jc w:val="right"/>
              <w:rPr>
                <w:rFonts w:ascii="Calibri" w:hAnsi="Calibri" w:cs="Calibri"/>
                <w:b/>
                <w:bCs/>
                <w:color w:val="000000"/>
                <w:sz w:val="20"/>
                <w:szCs w:val="20"/>
              </w:rPr>
            </w:pPr>
          </w:p>
        </w:tc>
        <w:tc>
          <w:tcPr>
            <w:tcW w:w="663" w:type="dxa"/>
            <w:shd w:val="clear" w:color="auto" w:fill="auto"/>
            <w:noWrap/>
            <w:vAlign w:val="bottom"/>
            <w:hideMark/>
          </w:tcPr>
          <w:p w14:paraId="1CF893CF"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w:t>
            </w:r>
          </w:p>
        </w:tc>
        <w:tc>
          <w:tcPr>
            <w:tcW w:w="663" w:type="dxa"/>
            <w:shd w:val="clear" w:color="auto" w:fill="auto"/>
            <w:noWrap/>
            <w:vAlign w:val="bottom"/>
            <w:hideMark/>
          </w:tcPr>
          <w:p w14:paraId="074B3EA0"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2</w:t>
            </w:r>
          </w:p>
        </w:tc>
        <w:tc>
          <w:tcPr>
            <w:tcW w:w="663" w:type="dxa"/>
            <w:shd w:val="clear" w:color="auto" w:fill="auto"/>
            <w:noWrap/>
            <w:vAlign w:val="bottom"/>
            <w:hideMark/>
          </w:tcPr>
          <w:p w14:paraId="6CAE2C1B"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3</w:t>
            </w:r>
          </w:p>
        </w:tc>
        <w:tc>
          <w:tcPr>
            <w:tcW w:w="663" w:type="dxa"/>
            <w:shd w:val="clear" w:color="auto" w:fill="auto"/>
            <w:noWrap/>
            <w:vAlign w:val="bottom"/>
            <w:hideMark/>
          </w:tcPr>
          <w:p w14:paraId="70DEF98C"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3</w:t>
            </w:r>
          </w:p>
        </w:tc>
        <w:tc>
          <w:tcPr>
            <w:tcW w:w="663" w:type="dxa"/>
            <w:shd w:val="clear" w:color="auto" w:fill="auto"/>
            <w:noWrap/>
            <w:vAlign w:val="bottom"/>
            <w:hideMark/>
          </w:tcPr>
          <w:p w14:paraId="351865DF"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3</w:t>
            </w:r>
          </w:p>
        </w:tc>
        <w:tc>
          <w:tcPr>
            <w:tcW w:w="663" w:type="dxa"/>
            <w:shd w:val="clear" w:color="auto" w:fill="auto"/>
            <w:noWrap/>
            <w:vAlign w:val="bottom"/>
            <w:hideMark/>
          </w:tcPr>
          <w:p w14:paraId="0408F927"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3</w:t>
            </w:r>
          </w:p>
        </w:tc>
        <w:tc>
          <w:tcPr>
            <w:tcW w:w="663" w:type="dxa"/>
            <w:shd w:val="clear" w:color="auto" w:fill="auto"/>
            <w:noWrap/>
            <w:vAlign w:val="bottom"/>
            <w:hideMark/>
          </w:tcPr>
          <w:p w14:paraId="674AF82D"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4</w:t>
            </w:r>
          </w:p>
        </w:tc>
        <w:tc>
          <w:tcPr>
            <w:tcW w:w="663" w:type="dxa"/>
            <w:shd w:val="clear" w:color="auto" w:fill="auto"/>
            <w:noWrap/>
            <w:vAlign w:val="bottom"/>
            <w:hideMark/>
          </w:tcPr>
          <w:p w14:paraId="421FBA3A"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4</w:t>
            </w:r>
          </w:p>
        </w:tc>
        <w:tc>
          <w:tcPr>
            <w:tcW w:w="663" w:type="dxa"/>
            <w:shd w:val="clear" w:color="auto" w:fill="auto"/>
            <w:noWrap/>
            <w:vAlign w:val="bottom"/>
            <w:hideMark/>
          </w:tcPr>
          <w:p w14:paraId="563821C7"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11</w:t>
            </w:r>
          </w:p>
        </w:tc>
        <w:tc>
          <w:tcPr>
            <w:tcW w:w="663" w:type="dxa"/>
            <w:shd w:val="clear" w:color="auto" w:fill="auto"/>
            <w:noWrap/>
            <w:vAlign w:val="bottom"/>
            <w:hideMark/>
          </w:tcPr>
          <w:p w14:paraId="4274BFE9"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17</w:t>
            </w:r>
          </w:p>
        </w:tc>
        <w:tc>
          <w:tcPr>
            <w:tcW w:w="1180" w:type="dxa"/>
            <w:shd w:val="clear" w:color="auto" w:fill="auto"/>
            <w:noWrap/>
            <w:vAlign w:val="bottom"/>
            <w:hideMark/>
          </w:tcPr>
          <w:p w14:paraId="13F327B6"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52</w:t>
            </w:r>
          </w:p>
        </w:tc>
      </w:tr>
      <w:tr w:rsidR="00BD4D02" w:rsidRPr="00BD4D02" w14:paraId="7FA9F61A" w14:textId="77777777" w:rsidTr="00050580">
        <w:trPr>
          <w:trHeight w:val="144"/>
        </w:trPr>
        <w:tc>
          <w:tcPr>
            <w:tcW w:w="4500" w:type="dxa"/>
            <w:shd w:val="clear" w:color="auto" w:fill="auto"/>
            <w:noWrap/>
            <w:vAlign w:val="bottom"/>
            <w:hideMark/>
          </w:tcPr>
          <w:p w14:paraId="303C56E8"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Household spending</w:t>
            </w:r>
          </w:p>
        </w:tc>
        <w:tc>
          <w:tcPr>
            <w:tcW w:w="770" w:type="dxa"/>
            <w:shd w:val="clear" w:color="auto" w:fill="auto"/>
            <w:noWrap/>
            <w:vAlign w:val="bottom"/>
            <w:hideMark/>
          </w:tcPr>
          <w:p w14:paraId="15DED1A2"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201CF50B" w14:textId="77777777" w:rsidR="00BD4D02" w:rsidRPr="00BD4D02" w:rsidRDefault="00BD4D02" w:rsidP="00BD4D02">
            <w:pPr>
              <w:rPr>
                <w:sz w:val="20"/>
                <w:szCs w:val="20"/>
              </w:rPr>
            </w:pPr>
          </w:p>
        </w:tc>
        <w:tc>
          <w:tcPr>
            <w:tcW w:w="663" w:type="dxa"/>
            <w:shd w:val="clear" w:color="auto" w:fill="auto"/>
            <w:noWrap/>
            <w:vAlign w:val="bottom"/>
            <w:hideMark/>
          </w:tcPr>
          <w:p w14:paraId="11F15B86" w14:textId="77777777" w:rsidR="00BD4D02" w:rsidRPr="00BD4D02" w:rsidRDefault="00BD4D02" w:rsidP="00BD4D02">
            <w:pPr>
              <w:rPr>
                <w:sz w:val="20"/>
                <w:szCs w:val="20"/>
              </w:rPr>
            </w:pPr>
          </w:p>
        </w:tc>
        <w:tc>
          <w:tcPr>
            <w:tcW w:w="663" w:type="dxa"/>
            <w:shd w:val="clear" w:color="auto" w:fill="auto"/>
            <w:noWrap/>
            <w:vAlign w:val="bottom"/>
            <w:hideMark/>
          </w:tcPr>
          <w:p w14:paraId="7350E3D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0140B55A"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2A79EAE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22348186"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5359B11B"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32EC3C94"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w:t>
            </w:r>
          </w:p>
        </w:tc>
        <w:tc>
          <w:tcPr>
            <w:tcW w:w="663" w:type="dxa"/>
            <w:shd w:val="clear" w:color="auto" w:fill="auto"/>
            <w:noWrap/>
            <w:vAlign w:val="bottom"/>
            <w:hideMark/>
          </w:tcPr>
          <w:p w14:paraId="2BDCBACE"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w:t>
            </w:r>
          </w:p>
        </w:tc>
        <w:tc>
          <w:tcPr>
            <w:tcW w:w="663" w:type="dxa"/>
            <w:shd w:val="clear" w:color="auto" w:fill="auto"/>
            <w:noWrap/>
            <w:vAlign w:val="bottom"/>
            <w:hideMark/>
          </w:tcPr>
          <w:p w14:paraId="4DF73DC9"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8</w:t>
            </w:r>
          </w:p>
        </w:tc>
        <w:tc>
          <w:tcPr>
            <w:tcW w:w="663" w:type="dxa"/>
            <w:shd w:val="clear" w:color="auto" w:fill="auto"/>
            <w:noWrap/>
            <w:vAlign w:val="bottom"/>
            <w:hideMark/>
          </w:tcPr>
          <w:p w14:paraId="210A36C4"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15</w:t>
            </w:r>
          </w:p>
        </w:tc>
        <w:tc>
          <w:tcPr>
            <w:tcW w:w="1180" w:type="dxa"/>
            <w:shd w:val="clear" w:color="auto" w:fill="auto"/>
            <w:noWrap/>
            <w:vAlign w:val="bottom"/>
            <w:hideMark/>
          </w:tcPr>
          <w:p w14:paraId="1FE3C284"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38</w:t>
            </w:r>
          </w:p>
        </w:tc>
      </w:tr>
      <w:tr w:rsidR="00BD4D02" w:rsidRPr="00BD4D02" w14:paraId="5136E7E3" w14:textId="77777777" w:rsidTr="00050580">
        <w:trPr>
          <w:trHeight w:val="144"/>
        </w:trPr>
        <w:tc>
          <w:tcPr>
            <w:tcW w:w="4500" w:type="dxa"/>
            <w:shd w:val="clear" w:color="auto" w:fill="auto"/>
            <w:noWrap/>
            <w:vAlign w:val="bottom"/>
            <w:hideMark/>
          </w:tcPr>
          <w:p w14:paraId="36532D78"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Price - communications</w:t>
            </w:r>
          </w:p>
        </w:tc>
        <w:tc>
          <w:tcPr>
            <w:tcW w:w="770" w:type="dxa"/>
            <w:shd w:val="clear" w:color="auto" w:fill="auto"/>
            <w:noWrap/>
            <w:vAlign w:val="bottom"/>
            <w:hideMark/>
          </w:tcPr>
          <w:p w14:paraId="30042F55"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2B98A872" w14:textId="77777777" w:rsidR="00BD4D02" w:rsidRPr="00BD4D02" w:rsidRDefault="00BD4D02" w:rsidP="00BD4D02">
            <w:pPr>
              <w:rPr>
                <w:sz w:val="20"/>
                <w:szCs w:val="20"/>
              </w:rPr>
            </w:pPr>
          </w:p>
        </w:tc>
        <w:tc>
          <w:tcPr>
            <w:tcW w:w="663" w:type="dxa"/>
            <w:shd w:val="clear" w:color="auto" w:fill="auto"/>
            <w:noWrap/>
            <w:vAlign w:val="bottom"/>
            <w:hideMark/>
          </w:tcPr>
          <w:p w14:paraId="1A82EBB7" w14:textId="77777777" w:rsidR="00BD4D02" w:rsidRPr="00BD4D02" w:rsidRDefault="00BD4D02" w:rsidP="00BD4D02">
            <w:pPr>
              <w:rPr>
                <w:sz w:val="20"/>
                <w:szCs w:val="20"/>
              </w:rPr>
            </w:pPr>
          </w:p>
        </w:tc>
        <w:tc>
          <w:tcPr>
            <w:tcW w:w="663" w:type="dxa"/>
            <w:shd w:val="clear" w:color="auto" w:fill="auto"/>
            <w:noWrap/>
            <w:vAlign w:val="bottom"/>
            <w:hideMark/>
          </w:tcPr>
          <w:p w14:paraId="2B999E34" w14:textId="77777777" w:rsidR="00BD4D02" w:rsidRPr="00BD4D02" w:rsidRDefault="00BD4D02" w:rsidP="00BD4D02">
            <w:pPr>
              <w:rPr>
                <w:sz w:val="20"/>
                <w:szCs w:val="20"/>
              </w:rPr>
            </w:pPr>
          </w:p>
        </w:tc>
        <w:tc>
          <w:tcPr>
            <w:tcW w:w="663" w:type="dxa"/>
            <w:shd w:val="clear" w:color="auto" w:fill="auto"/>
            <w:noWrap/>
            <w:vAlign w:val="bottom"/>
            <w:hideMark/>
          </w:tcPr>
          <w:p w14:paraId="3F56F8BF" w14:textId="77777777" w:rsidR="00BD4D02" w:rsidRPr="00BD4D02" w:rsidRDefault="00BD4D02" w:rsidP="00BD4D02">
            <w:pPr>
              <w:rPr>
                <w:sz w:val="20"/>
                <w:szCs w:val="20"/>
              </w:rPr>
            </w:pPr>
          </w:p>
        </w:tc>
        <w:tc>
          <w:tcPr>
            <w:tcW w:w="663" w:type="dxa"/>
            <w:shd w:val="clear" w:color="auto" w:fill="auto"/>
            <w:noWrap/>
            <w:vAlign w:val="bottom"/>
            <w:hideMark/>
          </w:tcPr>
          <w:p w14:paraId="069198A6" w14:textId="77777777" w:rsidR="00BD4D02" w:rsidRPr="00BD4D02" w:rsidRDefault="00BD4D02" w:rsidP="00BD4D02">
            <w:pPr>
              <w:rPr>
                <w:sz w:val="20"/>
                <w:szCs w:val="20"/>
              </w:rPr>
            </w:pPr>
          </w:p>
        </w:tc>
        <w:tc>
          <w:tcPr>
            <w:tcW w:w="663" w:type="dxa"/>
            <w:shd w:val="clear" w:color="auto" w:fill="auto"/>
            <w:noWrap/>
            <w:vAlign w:val="bottom"/>
            <w:hideMark/>
          </w:tcPr>
          <w:p w14:paraId="1A99C2F1" w14:textId="77777777" w:rsidR="00BD4D02" w:rsidRPr="00BD4D02" w:rsidRDefault="00BD4D02" w:rsidP="00BD4D02">
            <w:pPr>
              <w:rPr>
                <w:sz w:val="20"/>
                <w:szCs w:val="20"/>
              </w:rPr>
            </w:pPr>
          </w:p>
        </w:tc>
        <w:tc>
          <w:tcPr>
            <w:tcW w:w="663" w:type="dxa"/>
            <w:shd w:val="clear" w:color="auto" w:fill="auto"/>
            <w:noWrap/>
            <w:vAlign w:val="bottom"/>
            <w:hideMark/>
          </w:tcPr>
          <w:p w14:paraId="17D85897" w14:textId="77777777" w:rsidR="00BD4D02" w:rsidRPr="00BD4D02" w:rsidRDefault="00BD4D02" w:rsidP="00BD4D02">
            <w:pPr>
              <w:rPr>
                <w:sz w:val="20"/>
                <w:szCs w:val="20"/>
              </w:rPr>
            </w:pPr>
          </w:p>
        </w:tc>
        <w:tc>
          <w:tcPr>
            <w:tcW w:w="663" w:type="dxa"/>
            <w:shd w:val="clear" w:color="auto" w:fill="auto"/>
            <w:noWrap/>
            <w:vAlign w:val="bottom"/>
            <w:hideMark/>
          </w:tcPr>
          <w:p w14:paraId="61CB65CE" w14:textId="77777777" w:rsidR="00BD4D02" w:rsidRPr="00BD4D02" w:rsidRDefault="00BD4D02" w:rsidP="00BD4D02">
            <w:pPr>
              <w:rPr>
                <w:sz w:val="20"/>
                <w:szCs w:val="20"/>
              </w:rPr>
            </w:pPr>
          </w:p>
        </w:tc>
        <w:tc>
          <w:tcPr>
            <w:tcW w:w="663" w:type="dxa"/>
            <w:shd w:val="clear" w:color="auto" w:fill="auto"/>
            <w:noWrap/>
            <w:vAlign w:val="bottom"/>
            <w:hideMark/>
          </w:tcPr>
          <w:p w14:paraId="530D7E94" w14:textId="77777777" w:rsidR="00BD4D02" w:rsidRPr="00BD4D02" w:rsidRDefault="00BD4D02" w:rsidP="00BD4D02">
            <w:pPr>
              <w:rPr>
                <w:sz w:val="20"/>
                <w:szCs w:val="20"/>
              </w:rPr>
            </w:pPr>
          </w:p>
        </w:tc>
        <w:tc>
          <w:tcPr>
            <w:tcW w:w="663" w:type="dxa"/>
            <w:shd w:val="clear" w:color="auto" w:fill="auto"/>
            <w:noWrap/>
            <w:vAlign w:val="bottom"/>
            <w:hideMark/>
          </w:tcPr>
          <w:p w14:paraId="47BDDF70"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3</w:t>
            </w:r>
          </w:p>
        </w:tc>
        <w:tc>
          <w:tcPr>
            <w:tcW w:w="663" w:type="dxa"/>
            <w:shd w:val="clear" w:color="auto" w:fill="auto"/>
            <w:noWrap/>
            <w:vAlign w:val="bottom"/>
            <w:hideMark/>
          </w:tcPr>
          <w:p w14:paraId="5A31A633"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1180" w:type="dxa"/>
            <w:shd w:val="clear" w:color="auto" w:fill="auto"/>
            <w:noWrap/>
            <w:vAlign w:val="bottom"/>
            <w:hideMark/>
          </w:tcPr>
          <w:p w14:paraId="3DC1DC8D"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5</w:t>
            </w:r>
          </w:p>
        </w:tc>
      </w:tr>
      <w:tr w:rsidR="00BD4D02" w:rsidRPr="00BD4D02" w14:paraId="52B6C178" w14:textId="77777777" w:rsidTr="00050580">
        <w:trPr>
          <w:trHeight w:val="144"/>
        </w:trPr>
        <w:tc>
          <w:tcPr>
            <w:tcW w:w="4500" w:type="dxa"/>
            <w:shd w:val="clear" w:color="auto" w:fill="auto"/>
            <w:noWrap/>
            <w:vAlign w:val="bottom"/>
            <w:hideMark/>
          </w:tcPr>
          <w:p w14:paraId="426AC110"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Price - indices - BDU, Internet, telephone</w:t>
            </w:r>
          </w:p>
        </w:tc>
        <w:tc>
          <w:tcPr>
            <w:tcW w:w="770" w:type="dxa"/>
            <w:shd w:val="clear" w:color="auto" w:fill="auto"/>
            <w:noWrap/>
            <w:vAlign w:val="bottom"/>
            <w:hideMark/>
          </w:tcPr>
          <w:p w14:paraId="147D553D"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273BB125" w14:textId="77777777" w:rsidR="00BD4D02" w:rsidRPr="00BD4D02" w:rsidRDefault="00BD4D02" w:rsidP="00BD4D02">
            <w:pPr>
              <w:rPr>
                <w:sz w:val="20"/>
                <w:szCs w:val="20"/>
              </w:rPr>
            </w:pPr>
          </w:p>
        </w:tc>
        <w:tc>
          <w:tcPr>
            <w:tcW w:w="663" w:type="dxa"/>
            <w:shd w:val="clear" w:color="auto" w:fill="auto"/>
            <w:noWrap/>
            <w:vAlign w:val="bottom"/>
            <w:hideMark/>
          </w:tcPr>
          <w:p w14:paraId="3807A3D2" w14:textId="77777777" w:rsidR="00BD4D02" w:rsidRPr="00BD4D02" w:rsidRDefault="00BD4D02" w:rsidP="00BD4D02">
            <w:pPr>
              <w:rPr>
                <w:sz w:val="20"/>
                <w:szCs w:val="20"/>
              </w:rPr>
            </w:pPr>
          </w:p>
        </w:tc>
        <w:tc>
          <w:tcPr>
            <w:tcW w:w="663" w:type="dxa"/>
            <w:shd w:val="clear" w:color="auto" w:fill="auto"/>
            <w:noWrap/>
            <w:vAlign w:val="bottom"/>
            <w:hideMark/>
          </w:tcPr>
          <w:p w14:paraId="18247ECA" w14:textId="77777777" w:rsidR="00BD4D02" w:rsidRPr="00BD4D02" w:rsidRDefault="00BD4D02" w:rsidP="00BD4D02">
            <w:pPr>
              <w:rPr>
                <w:sz w:val="20"/>
                <w:szCs w:val="20"/>
              </w:rPr>
            </w:pPr>
          </w:p>
        </w:tc>
        <w:tc>
          <w:tcPr>
            <w:tcW w:w="663" w:type="dxa"/>
            <w:shd w:val="clear" w:color="auto" w:fill="auto"/>
            <w:noWrap/>
            <w:vAlign w:val="bottom"/>
            <w:hideMark/>
          </w:tcPr>
          <w:p w14:paraId="4B20DA82" w14:textId="77777777" w:rsidR="00BD4D02" w:rsidRPr="00BD4D02" w:rsidRDefault="00BD4D02" w:rsidP="00BD4D02">
            <w:pPr>
              <w:rPr>
                <w:sz w:val="20"/>
                <w:szCs w:val="20"/>
              </w:rPr>
            </w:pPr>
          </w:p>
        </w:tc>
        <w:tc>
          <w:tcPr>
            <w:tcW w:w="663" w:type="dxa"/>
            <w:shd w:val="clear" w:color="auto" w:fill="auto"/>
            <w:noWrap/>
            <w:vAlign w:val="bottom"/>
            <w:hideMark/>
          </w:tcPr>
          <w:p w14:paraId="466B7FDF" w14:textId="77777777" w:rsidR="00BD4D02" w:rsidRPr="00BD4D02" w:rsidRDefault="00BD4D02" w:rsidP="00BD4D02">
            <w:pPr>
              <w:rPr>
                <w:sz w:val="20"/>
                <w:szCs w:val="20"/>
              </w:rPr>
            </w:pPr>
          </w:p>
        </w:tc>
        <w:tc>
          <w:tcPr>
            <w:tcW w:w="663" w:type="dxa"/>
            <w:shd w:val="clear" w:color="auto" w:fill="auto"/>
            <w:noWrap/>
            <w:vAlign w:val="bottom"/>
            <w:hideMark/>
          </w:tcPr>
          <w:p w14:paraId="25157544"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434070B8"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1A311378"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67C4A727"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7E4D64B9"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7A1DFA13" w14:textId="77777777" w:rsidR="00BD4D02" w:rsidRPr="00BD4D02" w:rsidRDefault="00BD4D02" w:rsidP="00BD4D02">
            <w:pPr>
              <w:rPr>
                <w:sz w:val="20"/>
                <w:szCs w:val="20"/>
              </w:rPr>
            </w:pPr>
          </w:p>
        </w:tc>
        <w:tc>
          <w:tcPr>
            <w:tcW w:w="1180" w:type="dxa"/>
            <w:shd w:val="clear" w:color="auto" w:fill="auto"/>
            <w:noWrap/>
            <w:vAlign w:val="bottom"/>
            <w:hideMark/>
          </w:tcPr>
          <w:p w14:paraId="6B0FA84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4</w:t>
            </w:r>
          </w:p>
        </w:tc>
      </w:tr>
      <w:tr w:rsidR="00BD4D02" w:rsidRPr="00BD4D02" w14:paraId="231F61B5" w14:textId="77777777" w:rsidTr="00050580">
        <w:trPr>
          <w:trHeight w:val="144"/>
        </w:trPr>
        <w:tc>
          <w:tcPr>
            <w:tcW w:w="4500" w:type="dxa"/>
            <w:shd w:val="clear" w:color="auto" w:fill="auto"/>
            <w:noWrap/>
            <w:vAlign w:val="bottom"/>
            <w:hideMark/>
          </w:tcPr>
          <w:p w14:paraId="4828FC2C"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Price indices - BDU, Internet</w:t>
            </w:r>
          </w:p>
        </w:tc>
        <w:tc>
          <w:tcPr>
            <w:tcW w:w="770" w:type="dxa"/>
            <w:shd w:val="clear" w:color="auto" w:fill="auto"/>
            <w:noWrap/>
            <w:vAlign w:val="bottom"/>
            <w:hideMark/>
          </w:tcPr>
          <w:p w14:paraId="675F0D2E"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44899ED0"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6E9E6A20"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4E5A424A"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77ADE3AD"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65045909"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72D88B67"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7868E626" w14:textId="77777777" w:rsidR="00BD4D02" w:rsidRPr="00BD4D02" w:rsidRDefault="00BD4D02" w:rsidP="00BD4D02">
            <w:pPr>
              <w:rPr>
                <w:sz w:val="20"/>
                <w:szCs w:val="20"/>
              </w:rPr>
            </w:pPr>
          </w:p>
        </w:tc>
        <w:tc>
          <w:tcPr>
            <w:tcW w:w="663" w:type="dxa"/>
            <w:shd w:val="clear" w:color="auto" w:fill="auto"/>
            <w:noWrap/>
            <w:vAlign w:val="bottom"/>
            <w:hideMark/>
          </w:tcPr>
          <w:p w14:paraId="6B524A32" w14:textId="77777777" w:rsidR="00BD4D02" w:rsidRPr="00BD4D02" w:rsidRDefault="00BD4D02" w:rsidP="00BD4D02">
            <w:pPr>
              <w:rPr>
                <w:sz w:val="20"/>
                <w:szCs w:val="20"/>
              </w:rPr>
            </w:pPr>
          </w:p>
        </w:tc>
        <w:tc>
          <w:tcPr>
            <w:tcW w:w="663" w:type="dxa"/>
            <w:shd w:val="clear" w:color="auto" w:fill="auto"/>
            <w:noWrap/>
            <w:vAlign w:val="bottom"/>
            <w:hideMark/>
          </w:tcPr>
          <w:p w14:paraId="4EF54CE2" w14:textId="77777777" w:rsidR="00BD4D02" w:rsidRPr="00BD4D02" w:rsidRDefault="00BD4D02" w:rsidP="00BD4D02">
            <w:pPr>
              <w:rPr>
                <w:sz w:val="20"/>
                <w:szCs w:val="20"/>
              </w:rPr>
            </w:pPr>
          </w:p>
        </w:tc>
        <w:tc>
          <w:tcPr>
            <w:tcW w:w="663" w:type="dxa"/>
            <w:shd w:val="clear" w:color="auto" w:fill="auto"/>
            <w:noWrap/>
            <w:vAlign w:val="bottom"/>
            <w:hideMark/>
          </w:tcPr>
          <w:p w14:paraId="33936985" w14:textId="77777777" w:rsidR="00BD4D02" w:rsidRPr="00BD4D02" w:rsidRDefault="00BD4D02" w:rsidP="00BD4D02">
            <w:pPr>
              <w:rPr>
                <w:sz w:val="20"/>
                <w:szCs w:val="20"/>
              </w:rPr>
            </w:pPr>
          </w:p>
        </w:tc>
        <w:tc>
          <w:tcPr>
            <w:tcW w:w="663" w:type="dxa"/>
            <w:shd w:val="clear" w:color="auto" w:fill="auto"/>
            <w:noWrap/>
            <w:vAlign w:val="bottom"/>
            <w:hideMark/>
          </w:tcPr>
          <w:p w14:paraId="3943F0FA" w14:textId="77777777" w:rsidR="00BD4D02" w:rsidRPr="00BD4D02" w:rsidRDefault="00BD4D02" w:rsidP="00BD4D02">
            <w:pPr>
              <w:rPr>
                <w:sz w:val="20"/>
                <w:szCs w:val="20"/>
              </w:rPr>
            </w:pPr>
          </w:p>
        </w:tc>
        <w:tc>
          <w:tcPr>
            <w:tcW w:w="1180" w:type="dxa"/>
            <w:shd w:val="clear" w:color="auto" w:fill="auto"/>
            <w:noWrap/>
            <w:vAlign w:val="bottom"/>
            <w:hideMark/>
          </w:tcPr>
          <w:p w14:paraId="7E80829B"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5</w:t>
            </w:r>
          </w:p>
        </w:tc>
      </w:tr>
      <w:tr w:rsidR="00BD4D02" w:rsidRPr="00BD4D02" w14:paraId="6CDD4C80" w14:textId="77777777" w:rsidTr="00050580">
        <w:trPr>
          <w:trHeight w:val="144"/>
        </w:trPr>
        <w:tc>
          <w:tcPr>
            <w:tcW w:w="4500" w:type="dxa"/>
            <w:shd w:val="clear" w:color="auto" w:fill="auto"/>
            <w:noWrap/>
            <w:vAlign w:val="bottom"/>
            <w:hideMark/>
          </w:tcPr>
          <w:p w14:paraId="05F417BA" w14:textId="77777777" w:rsidR="00BD4D02" w:rsidRPr="00BD4D02" w:rsidRDefault="00BD4D02" w:rsidP="00BD4D02">
            <w:pPr>
              <w:ind w:firstLineChars="100" w:firstLine="201"/>
              <w:rPr>
                <w:rFonts w:ascii="Calibri" w:hAnsi="Calibri" w:cs="Calibri"/>
                <w:b/>
                <w:bCs/>
                <w:color w:val="000000"/>
                <w:sz w:val="20"/>
                <w:szCs w:val="20"/>
              </w:rPr>
            </w:pPr>
            <w:r w:rsidRPr="00BD4D02">
              <w:rPr>
                <w:rFonts w:ascii="Calibri" w:hAnsi="Calibri" w:cs="Calibri"/>
                <w:b/>
                <w:bCs/>
                <w:color w:val="000000"/>
                <w:sz w:val="20"/>
                <w:szCs w:val="20"/>
              </w:rPr>
              <w:t>Competition</w:t>
            </w:r>
          </w:p>
        </w:tc>
        <w:tc>
          <w:tcPr>
            <w:tcW w:w="770" w:type="dxa"/>
            <w:shd w:val="clear" w:color="auto" w:fill="auto"/>
            <w:noWrap/>
            <w:vAlign w:val="bottom"/>
            <w:hideMark/>
          </w:tcPr>
          <w:p w14:paraId="003EEC2D" w14:textId="77777777" w:rsidR="00BD4D02" w:rsidRPr="00BD4D02" w:rsidRDefault="00BD4D02" w:rsidP="00BD4D02">
            <w:pPr>
              <w:ind w:firstLineChars="100" w:firstLine="201"/>
              <w:rPr>
                <w:rFonts w:ascii="Calibri" w:hAnsi="Calibri" w:cs="Calibri"/>
                <w:b/>
                <w:bCs/>
                <w:color w:val="000000"/>
                <w:sz w:val="20"/>
                <w:szCs w:val="20"/>
              </w:rPr>
            </w:pPr>
          </w:p>
        </w:tc>
        <w:tc>
          <w:tcPr>
            <w:tcW w:w="663" w:type="dxa"/>
            <w:shd w:val="clear" w:color="auto" w:fill="auto"/>
            <w:noWrap/>
            <w:vAlign w:val="bottom"/>
            <w:hideMark/>
          </w:tcPr>
          <w:p w14:paraId="08F73745" w14:textId="77777777" w:rsidR="00BD4D02" w:rsidRPr="00BD4D02" w:rsidRDefault="00BD4D02" w:rsidP="00BD4D02">
            <w:pPr>
              <w:rPr>
                <w:sz w:val="20"/>
                <w:szCs w:val="20"/>
              </w:rPr>
            </w:pPr>
          </w:p>
        </w:tc>
        <w:tc>
          <w:tcPr>
            <w:tcW w:w="663" w:type="dxa"/>
            <w:shd w:val="clear" w:color="auto" w:fill="auto"/>
            <w:noWrap/>
            <w:vAlign w:val="bottom"/>
            <w:hideMark/>
          </w:tcPr>
          <w:p w14:paraId="0F0FF909"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w:t>
            </w:r>
          </w:p>
        </w:tc>
        <w:tc>
          <w:tcPr>
            <w:tcW w:w="663" w:type="dxa"/>
            <w:shd w:val="clear" w:color="auto" w:fill="auto"/>
            <w:noWrap/>
            <w:vAlign w:val="bottom"/>
            <w:hideMark/>
          </w:tcPr>
          <w:p w14:paraId="72D17B24"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w:t>
            </w:r>
          </w:p>
        </w:tc>
        <w:tc>
          <w:tcPr>
            <w:tcW w:w="663" w:type="dxa"/>
            <w:shd w:val="clear" w:color="auto" w:fill="auto"/>
            <w:noWrap/>
            <w:vAlign w:val="bottom"/>
            <w:hideMark/>
          </w:tcPr>
          <w:p w14:paraId="696DFD76"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w:t>
            </w:r>
          </w:p>
        </w:tc>
        <w:tc>
          <w:tcPr>
            <w:tcW w:w="663" w:type="dxa"/>
            <w:shd w:val="clear" w:color="auto" w:fill="auto"/>
            <w:noWrap/>
            <w:vAlign w:val="bottom"/>
            <w:hideMark/>
          </w:tcPr>
          <w:p w14:paraId="3BA19752"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w:t>
            </w:r>
          </w:p>
        </w:tc>
        <w:tc>
          <w:tcPr>
            <w:tcW w:w="663" w:type="dxa"/>
            <w:shd w:val="clear" w:color="auto" w:fill="auto"/>
            <w:noWrap/>
            <w:vAlign w:val="bottom"/>
            <w:hideMark/>
          </w:tcPr>
          <w:p w14:paraId="4136FD81"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w:t>
            </w:r>
          </w:p>
        </w:tc>
        <w:tc>
          <w:tcPr>
            <w:tcW w:w="663" w:type="dxa"/>
            <w:shd w:val="clear" w:color="auto" w:fill="auto"/>
            <w:noWrap/>
            <w:vAlign w:val="bottom"/>
            <w:hideMark/>
          </w:tcPr>
          <w:p w14:paraId="75A81A19"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w:t>
            </w:r>
          </w:p>
        </w:tc>
        <w:tc>
          <w:tcPr>
            <w:tcW w:w="663" w:type="dxa"/>
            <w:shd w:val="clear" w:color="auto" w:fill="auto"/>
            <w:noWrap/>
            <w:vAlign w:val="bottom"/>
            <w:hideMark/>
          </w:tcPr>
          <w:p w14:paraId="4CFE21EC"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w:t>
            </w:r>
          </w:p>
        </w:tc>
        <w:tc>
          <w:tcPr>
            <w:tcW w:w="663" w:type="dxa"/>
            <w:shd w:val="clear" w:color="auto" w:fill="auto"/>
            <w:noWrap/>
            <w:vAlign w:val="bottom"/>
            <w:hideMark/>
          </w:tcPr>
          <w:p w14:paraId="4C6849DA"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w:t>
            </w:r>
          </w:p>
        </w:tc>
        <w:tc>
          <w:tcPr>
            <w:tcW w:w="663" w:type="dxa"/>
            <w:shd w:val="clear" w:color="auto" w:fill="auto"/>
            <w:noWrap/>
            <w:vAlign w:val="bottom"/>
            <w:hideMark/>
          </w:tcPr>
          <w:p w14:paraId="57E61858"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w:t>
            </w:r>
          </w:p>
        </w:tc>
        <w:tc>
          <w:tcPr>
            <w:tcW w:w="663" w:type="dxa"/>
            <w:shd w:val="clear" w:color="auto" w:fill="auto"/>
            <w:noWrap/>
            <w:vAlign w:val="bottom"/>
            <w:hideMark/>
          </w:tcPr>
          <w:p w14:paraId="3140D43E"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w:t>
            </w:r>
          </w:p>
        </w:tc>
        <w:tc>
          <w:tcPr>
            <w:tcW w:w="1180" w:type="dxa"/>
            <w:shd w:val="clear" w:color="auto" w:fill="auto"/>
            <w:noWrap/>
            <w:vAlign w:val="bottom"/>
            <w:hideMark/>
          </w:tcPr>
          <w:p w14:paraId="1F1B140F"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10</w:t>
            </w:r>
          </w:p>
        </w:tc>
      </w:tr>
      <w:tr w:rsidR="00BD4D02" w:rsidRPr="00BD4D02" w14:paraId="28479699" w14:textId="77777777" w:rsidTr="00050580">
        <w:trPr>
          <w:trHeight w:val="144"/>
        </w:trPr>
        <w:tc>
          <w:tcPr>
            <w:tcW w:w="4500" w:type="dxa"/>
            <w:shd w:val="clear" w:color="auto" w:fill="auto"/>
            <w:noWrap/>
            <w:vAlign w:val="bottom"/>
            <w:hideMark/>
          </w:tcPr>
          <w:p w14:paraId="00CCCE87"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Cable vs telecom</w:t>
            </w:r>
          </w:p>
        </w:tc>
        <w:tc>
          <w:tcPr>
            <w:tcW w:w="770" w:type="dxa"/>
            <w:shd w:val="clear" w:color="auto" w:fill="auto"/>
            <w:noWrap/>
            <w:vAlign w:val="bottom"/>
            <w:hideMark/>
          </w:tcPr>
          <w:p w14:paraId="4C1BC69E"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609F705E" w14:textId="77777777" w:rsidR="00BD4D02" w:rsidRPr="00BD4D02" w:rsidRDefault="00BD4D02" w:rsidP="00BD4D02">
            <w:pPr>
              <w:rPr>
                <w:sz w:val="20"/>
                <w:szCs w:val="20"/>
              </w:rPr>
            </w:pPr>
          </w:p>
        </w:tc>
        <w:tc>
          <w:tcPr>
            <w:tcW w:w="663" w:type="dxa"/>
            <w:shd w:val="clear" w:color="auto" w:fill="auto"/>
            <w:noWrap/>
            <w:vAlign w:val="bottom"/>
            <w:hideMark/>
          </w:tcPr>
          <w:p w14:paraId="5FA6AAB3"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17EF8C17"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5BDE19E2"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7293D089"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2BB40504"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34313E00"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60244DC8"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6BC8CBF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1144D809"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192091EF"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1180" w:type="dxa"/>
            <w:shd w:val="clear" w:color="auto" w:fill="auto"/>
            <w:noWrap/>
            <w:vAlign w:val="bottom"/>
            <w:hideMark/>
          </w:tcPr>
          <w:p w14:paraId="118B4E4D"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10</w:t>
            </w:r>
          </w:p>
        </w:tc>
      </w:tr>
      <w:tr w:rsidR="00BD4D02" w:rsidRPr="00BD4D02" w14:paraId="3231EB8C" w14:textId="77777777" w:rsidTr="00050580">
        <w:trPr>
          <w:trHeight w:val="144"/>
        </w:trPr>
        <w:tc>
          <w:tcPr>
            <w:tcW w:w="4500" w:type="dxa"/>
            <w:shd w:val="clear" w:color="auto" w:fill="auto"/>
            <w:noWrap/>
            <w:vAlign w:val="bottom"/>
            <w:hideMark/>
          </w:tcPr>
          <w:p w14:paraId="5D692F04" w14:textId="77777777" w:rsidR="00BD4D02" w:rsidRPr="00BD4D02" w:rsidRDefault="00BD4D02" w:rsidP="00BD4D02">
            <w:pPr>
              <w:ind w:firstLineChars="100" w:firstLine="201"/>
              <w:rPr>
                <w:rFonts w:ascii="Calibri" w:hAnsi="Calibri" w:cs="Calibri"/>
                <w:b/>
                <w:bCs/>
                <w:color w:val="000000"/>
                <w:sz w:val="20"/>
                <w:szCs w:val="20"/>
              </w:rPr>
            </w:pPr>
            <w:r w:rsidRPr="00BD4D02">
              <w:rPr>
                <w:rFonts w:ascii="Calibri" w:hAnsi="Calibri" w:cs="Calibri"/>
                <w:b/>
                <w:bCs/>
                <w:color w:val="000000"/>
                <w:sz w:val="20"/>
                <w:szCs w:val="20"/>
              </w:rPr>
              <w:t>Financial performance</w:t>
            </w:r>
          </w:p>
        </w:tc>
        <w:tc>
          <w:tcPr>
            <w:tcW w:w="770" w:type="dxa"/>
            <w:shd w:val="clear" w:color="auto" w:fill="auto"/>
            <w:noWrap/>
            <w:vAlign w:val="bottom"/>
            <w:hideMark/>
          </w:tcPr>
          <w:p w14:paraId="273D9894"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8</w:t>
            </w:r>
          </w:p>
        </w:tc>
        <w:tc>
          <w:tcPr>
            <w:tcW w:w="663" w:type="dxa"/>
            <w:shd w:val="clear" w:color="auto" w:fill="auto"/>
            <w:noWrap/>
            <w:vAlign w:val="bottom"/>
            <w:hideMark/>
          </w:tcPr>
          <w:p w14:paraId="01131D5E"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8</w:t>
            </w:r>
          </w:p>
        </w:tc>
        <w:tc>
          <w:tcPr>
            <w:tcW w:w="663" w:type="dxa"/>
            <w:shd w:val="clear" w:color="auto" w:fill="auto"/>
            <w:noWrap/>
            <w:vAlign w:val="bottom"/>
            <w:hideMark/>
          </w:tcPr>
          <w:p w14:paraId="555A4A15"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8</w:t>
            </w:r>
          </w:p>
        </w:tc>
        <w:tc>
          <w:tcPr>
            <w:tcW w:w="663" w:type="dxa"/>
            <w:shd w:val="clear" w:color="auto" w:fill="auto"/>
            <w:noWrap/>
            <w:vAlign w:val="bottom"/>
            <w:hideMark/>
          </w:tcPr>
          <w:p w14:paraId="03D8E48C"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10</w:t>
            </w:r>
          </w:p>
        </w:tc>
        <w:tc>
          <w:tcPr>
            <w:tcW w:w="663" w:type="dxa"/>
            <w:shd w:val="clear" w:color="auto" w:fill="auto"/>
            <w:noWrap/>
            <w:vAlign w:val="bottom"/>
            <w:hideMark/>
          </w:tcPr>
          <w:p w14:paraId="32C4706E"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10</w:t>
            </w:r>
          </w:p>
        </w:tc>
        <w:tc>
          <w:tcPr>
            <w:tcW w:w="663" w:type="dxa"/>
            <w:shd w:val="clear" w:color="auto" w:fill="auto"/>
            <w:noWrap/>
            <w:vAlign w:val="bottom"/>
            <w:hideMark/>
          </w:tcPr>
          <w:p w14:paraId="3519EDD3"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10</w:t>
            </w:r>
          </w:p>
        </w:tc>
        <w:tc>
          <w:tcPr>
            <w:tcW w:w="663" w:type="dxa"/>
            <w:shd w:val="clear" w:color="auto" w:fill="auto"/>
            <w:noWrap/>
            <w:vAlign w:val="bottom"/>
            <w:hideMark/>
          </w:tcPr>
          <w:p w14:paraId="3EC58487"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11</w:t>
            </w:r>
          </w:p>
        </w:tc>
        <w:tc>
          <w:tcPr>
            <w:tcW w:w="663" w:type="dxa"/>
            <w:shd w:val="clear" w:color="auto" w:fill="auto"/>
            <w:noWrap/>
            <w:vAlign w:val="bottom"/>
            <w:hideMark/>
          </w:tcPr>
          <w:p w14:paraId="3A7A16D2"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10</w:t>
            </w:r>
          </w:p>
        </w:tc>
        <w:tc>
          <w:tcPr>
            <w:tcW w:w="663" w:type="dxa"/>
            <w:shd w:val="clear" w:color="auto" w:fill="auto"/>
            <w:noWrap/>
            <w:vAlign w:val="bottom"/>
            <w:hideMark/>
          </w:tcPr>
          <w:p w14:paraId="78CA3FB7"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13</w:t>
            </w:r>
          </w:p>
        </w:tc>
        <w:tc>
          <w:tcPr>
            <w:tcW w:w="663" w:type="dxa"/>
            <w:shd w:val="clear" w:color="auto" w:fill="auto"/>
            <w:noWrap/>
            <w:vAlign w:val="bottom"/>
            <w:hideMark/>
          </w:tcPr>
          <w:p w14:paraId="01FB4FFD"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13</w:t>
            </w:r>
          </w:p>
        </w:tc>
        <w:tc>
          <w:tcPr>
            <w:tcW w:w="663" w:type="dxa"/>
            <w:shd w:val="clear" w:color="auto" w:fill="auto"/>
            <w:noWrap/>
            <w:vAlign w:val="bottom"/>
            <w:hideMark/>
          </w:tcPr>
          <w:p w14:paraId="21383DCE"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9</w:t>
            </w:r>
          </w:p>
        </w:tc>
        <w:tc>
          <w:tcPr>
            <w:tcW w:w="663" w:type="dxa"/>
            <w:shd w:val="clear" w:color="auto" w:fill="auto"/>
            <w:noWrap/>
            <w:vAlign w:val="bottom"/>
            <w:hideMark/>
          </w:tcPr>
          <w:p w14:paraId="05A7D7B7"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7</w:t>
            </w:r>
          </w:p>
        </w:tc>
        <w:tc>
          <w:tcPr>
            <w:tcW w:w="1180" w:type="dxa"/>
            <w:shd w:val="clear" w:color="auto" w:fill="auto"/>
            <w:noWrap/>
            <w:vAlign w:val="bottom"/>
            <w:hideMark/>
          </w:tcPr>
          <w:p w14:paraId="130B43BA"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117</w:t>
            </w:r>
          </w:p>
        </w:tc>
      </w:tr>
      <w:tr w:rsidR="00BD4D02" w:rsidRPr="00BD4D02" w14:paraId="38255912" w14:textId="77777777" w:rsidTr="00050580">
        <w:trPr>
          <w:trHeight w:val="144"/>
        </w:trPr>
        <w:tc>
          <w:tcPr>
            <w:tcW w:w="4500" w:type="dxa"/>
            <w:shd w:val="clear" w:color="auto" w:fill="auto"/>
            <w:noWrap/>
            <w:vAlign w:val="bottom"/>
            <w:hideMark/>
          </w:tcPr>
          <w:p w14:paraId="40261D72"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EBITDA</w:t>
            </w:r>
          </w:p>
        </w:tc>
        <w:tc>
          <w:tcPr>
            <w:tcW w:w="770" w:type="dxa"/>
            <w:shd w:val="clear" w:color="auto" w:fill="auto"/>
            <w:noWrap/>
            <w:vAlign w:val="bottom"/>
            <w:hideMark/>
          </w:tcPr>
          <w:p w14:paraId="1144721D"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09DA71E5"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1C5009E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4597AC3E"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66B7A68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2E7B96DB"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565709ED"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6424B60B" w14:textId="77777777" w:rsidR="00BD4D02" w:rsidRPr="00BD4D02" w:rsidRDefault="00BD4D02" w:rsidP="00BD4D02">
            <w:pPr>
              <w:rPr>
                <w:sz w:val="20"/>
                <w:szCs w:val="20"/>
              </w:rPr>
            </w:pPr>
          </w:p>
        </w:tc>
        <w:tc>
          <w:tcPr>
            <w:tcW w:w="663" w:type="dxa"/>
            <w:shd w:val="clear" w:color="auto" w:fill="auto"/>
            <w:noWrap/>
            <w:vAlign w:val="bottom"/>
            <w:hideMark/>
          </w:tcPr>
          <w:p w14:paraId="6F68A1E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1C17256F"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3F03CDFE"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10026BBC"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1180" w:type="dxa"/>
            <w:shd w:val="clear" w:color="auto" w:fill="auto"/>
            <w:noWrap/>
            <w:vAlign w:val="bottom"/>
            <w:hideMark/>
          </w:tcPr>
          <w:p w14:paraId="47EBB256"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10</w:t>
            </w:r>
          </w:p>
        </w:tc>
      </w:tr>
      <w:tr w:rsidR="00BD4D02" w:rsidRPr="00BD4D02" w14:paraId="39C5C544" w14:textId="77777777" w:rsidTr="00050580">
        <w:trPr>
          <w:trHeight w:val="144"/>
        </w:trPr>
        <w:tc>
          <w:tcPr>
            <w:tcW w:w="4500" w:type="dxa"/>
            <w:shd w:val="clear" w:color="auto" w:fill="auto"/>
            <w:noWrap/>
            <w:vAlign w:val="bottom"/>
            <w:hideMark/>
          </w:tcPr>
          <w:p w14:paraId="0BD6DA7D"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Revenue</w:t>
            </w:r>
          </w:p>
        </w:tc>
        <w:tc>
          <w:tcPr>
            <w:tcW w:w="770" w:type="dxa"/>
            <w:shd w:val="clear" w:color="auto" w:fill="auto"/>
            <w:noWrap/>
            <w:vAlign w:val="bottom"/>
            <w:hideMark/>
          </w:tcPr>
          <w:p w14:paraId="4C88A3CF"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7</w:t>
            </w:r>
          </w:p>
        </w:tc>
        <w:tc>
          <w:tcPr>
            <w:tcW w:w="663" w:type="dxa"/>
            <w:shd w:val="clear" w:color="auto" w:fill="auto"/>
            <w:noWrap/>
            <w:vAlign w:val="bottom"/>
            <w:hideMark/>
          </w:tcPr>
          <w:p w14:paraId="31011118"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7</w:t>
            </w:r>
          </w:p>
        </w:tc>
        <w:tc>
          <w:tcPr>
            <w:tcW w:w="663" w:type="dxa"/>
            <w:shd w:val="clear" w:color="auto" w:fill="auto"/>
            <w:noWrap/>
            <w:vAlign w:val="bottom"/>
            <w:hideMark/>
          </w:tcPr>
          <w:p w14:paraId="10F997D8"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7</w:t>
            </w:r>
          </w:p>
        </w:tc>
        <w:tc>
          <w:tcPr>
            <w:tcW w:w="663" w:type="dxa"/>
            <w:shd w:val="clear" w:color="auto" w:fill="auto"/>
            <w:noWrap/>
            <w:vAlign w:val="bottom"/>
            <w:hideMark/>
          </w:tcPr>
          <w:p w14:paraId="5242EFF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9</w:t>
            </w:r>
          </w:p>
        </w:tc>
        <w:tc>
          <w:tcPr>
            <w:tcW w:w="663" w:type="dxa"/>
            <w:shd w:val="clear" w:color="auto" w:fill="auto"/>
            <w:noWrap/>
            <w:vAlign w:val="bottom"/>
            <w:hideMark/>
          </w:tcPr>
          <w:p w14:paraId="6CFBCC69"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9</w:t>
            </w:r>
          </w:p>
        </w:tc>
        <w:tc>
          <w:tcPr>
            <w:tcW w:w="663" w:type="dxa"/>
            <w:shd w:val="clear" w:color="auto" w:fill="auto"/>
            <w:noWrap/>
            <w:vAlign w:val="bottom"/>
            <w:hideMark/>
          </w:tcPr>
          <w:p w14:paraId="12DDCC83"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9</w:t>
            </w:r>
          </w:p>
        </w:tc>
        <w:tc>
          <w:tcPr>
            <w:tcW w:w="663" w:type="dxa"/>
            <w:shd w:val="clear" w:color="auto" w:fill="auto"/>
            <w:noWrap/>
            <w:vAlign w:val="bottom"/>
            <w:hideMark/>
          </w:tcPr>
          <w:p w14:paraId="61FB7483"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11</w:t>
            </w:r>
          </w:p>
        </w:tc>
        <w:tc>
          <w:tcPr>
            <w:tcW w:w="663" w:type="dxa"/>
            <w:shd w:val="clear" w:color="auto" w:fill="auto"/>
            <w:noWrap/>
            <w:vAlign w:val="bottom"/>
            <w:hideMark/>
          </w:tcPr>
          <w:p w14:paraId="06B1A4E7"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10</w:t>
            </w:r>
          </w:p>
        </w:tc>
        <w:tc>
          <w:tcPr>
            <w:tcW w:w="663" w:type="dxa"/>
            <w:shd w:val="clear" w:color="auto" w:fill="auto"/>
            <w:noWrap/>
            <w:vAlign w:val="bottom"/>
            <w:hideMark/>
          </w:tcPr>
          <w:p w14:paraId="680FE73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12</w:t>
            </w:r>
          </w:p>
        </w:tc>
        <w:tc>
          <w:tcPr>
            <w:tcW w:w="663" w:type="dxa"/>
            <w:shd w:val="clear" w:color="auto" w:fill="auto"/>
            <w:noWrap/>
            <w:vAlign w:val="bottom"/>
            <w:hideMark/>
          </w:tcPr>
          <w:p w14:paraId="45252242"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12</w:t>
            </w:r>
          </w:p>
        </w:tc>
        <w:tc>
          <w:tcPr>
            <w:tcW w:w="663" w:type="dxa"/>
            <w:shd w:val="clear" w:color="auto" w:fill="auto"/>
            <w:noWrap/>
            <w:vAlign w:val="bottom"/>
            <w:hideMark/>
          </w:tcPr>
          <w:p w14:paraId="3CA0278D"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8</w:t>
            </w:r>
          </w:p>
        </w:tc>
        <w:tc>
          <w:tcPr>
            <w:tcW w:w="663" w:type="dxa"/>
            <w:shd w:val="clear" w:color="auto" w:fill="auto"/>
            <w:noWrap/>
            <w:vAlign w:val="bottom"/>
            <w:hideMark/>
          </w:tcPr>
          <w:p w14:paraId="671A2370"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6</w:t>
            </w:r>
          </w:p>
        </w:tc>
        <w:tc>
          <w:tcPr>
            <w:tcW w:w="1180" w:type="dxa"/>
            <w:shd w:val="clear" w:color="auto" w:fill="auto"/>
            <w:noWrap/>
            <w:vAlign w:val="bottom"/>
            <w:hideMark/>
          </w:tcPr>
          <w:p w14:paraId="70CE6A02"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107</w:t>
            </w:r>
          </w:p>
        </w:tc>
      </w:tr>
      <w:tr w:rsidR="00BD4D02" w:rsidRPr="00BD4D02" w14:paraId="2E547959" w14:textId="77777777" w:rsidTr="00050580">
        <w:trPr>
          <w:trHeight w:val="144"/>
        </w:trPr>
        <w:tc>
          <w:tcPr>
            <w:tcW w:w="4500" w:type="dxa"/>
            <w:shd w:val="clear" w:color="auto" w:fill="auto"/>
            <w:noWrap/>
            <w:vAlign w:val="bottom"/>
            <w:hideMark/>
          </w:tcPr>
          <w:p w14:paraId="732D82F6" w14:textId="77777777" w:rsidR="00BD4D02" w:rsidRPr="00BD4D02" w:rsidRDefault="00BD4D02" w:rsidP="00BD4D02">
            <w:pPr>
              <w:ind w:firstLineChars="100" w:firstLine="201"/>
              <w:rPr>
                <w:rFonts w:ascii="Calibri" w:hAnsi="Calibri" w:cs="Calibri"/>
                <w:b/>
                <w:bCs/>
                <w:color w:val="000000"/>
                <w:sz w:val="20"/>
                <w:szCs w:val="20"/>
              </w:rPr>
            </w:pPr>
            <w:r w:rsidRPr="00BD4D02">
              <w:rPr>
                <w:rFonts w:ascii="Calibri" w:hAnsi="Calibri" w:cs="Calibri"/>
                <w:b/>
                <w:bCs/>
                <w:color w:val="000000"/>
                <w:sz w:val="20"/>
                <w:szCs w:val="20"/>
              </w:rPr>
              <w:t>Dissatisfaction</w:t>
            </w:r>
          </w:p>
        </w:tc>
        <w:tc>
          <w:tcPr>
            <w:tcW w:w="770" w:type="dxa"/>
            <w:shd w:val="clear" w:color="auto" w:fill="auto"/>
            <w:noWrap/>
            <w:vAlign w:val="bottom"/>
            <w:hideMark/>
          </w:tcPr>
          <w:p w14:paraId="34061F96" w14:textId="77777777" w:rsidR="00BD4D02" w:rsidRPr="00BD4D02" w:rsidRDefault="00BD4D02" w:rsidP="00BD4D02">
            <w:pPr>
              <w:ind w:firstLineChars="100" w:firstLine="201"/>
              <w:rPr>
                <w:rFonts w:ascii="Calibri" w:hAnsi="Calibri" w:cs="Calibri"/>
                <w:b/>
                <w:bCs/>
                <w:color w:val="000000"/>
                <w:sz w:val="20"/>
                <w:szCs w:val="20"/>
              </w:rPr>
            </w:pPr>
          </w:p>
        </w:tc>
        <w:tc>
          <w:tcPr>
            <w:tcW w:w="663" w:type="dxa"/>
            <w:shd w:val="clear" w:color="auto" w:fill="auto"/>
            <w:noWrap/>
            <w:vAlign w:val="bottom"/>
            <w:hideMark/>
          </w:tcPr>
          <w:p w14:paraId="69F6A005" w14:textId="77777777" w:rsidR="00BD4D02" w:rsidRPr="00BD4D02" w:rsidRDefault="00BD4D02" w:rsidP="00BD4D02">
            <w:pPr>
              <w:rPr>
                <w:sz w:val="20"/>
                <w:szCs w:val="20"/>
              </w:rPr>
            </w:pPr>
          </w:p>
        </w:tc>
        <w:tc>
          <w:tcPr>
            <w:tcW w:w="663" w:type="dxa"/>
            <w:shd w:val="clear" w:color="auto" w:fill="auto"/>
            <w:noWrap/>
            <w:vAlign w:val="bottom"/>
            <w:hideMark/>
          </w:tcPr>
          <w:p w14:paraId="3565DA8D" w14:textId="77777777" w:rsidR="00BD4D02" w:rsidRPr="00BD4D02" w:rsidRDefault="00BD4D02" w:rsidP="00BD4D02">
            <w:pPr>
              <w:rPr>
                <w:sz w:val="20"/>
                <w:szCs w:val="20"/>
              </w:rPr>
            </w:pPr>
          </w:p>
        </w:tc>
        <w:tc>
          <w:tcPr>
            <w:tcW w:w="663" w:type="dxa"/>
            <w:shd w:val="clear" w:color="auto" w:fill="auto"/>
            <w:noWrap/>
            <w:vAlign w:val="bottom"/>
            <w:hideMark/>
          </w:tcPr>
          <w:p w14:paraId="1F7E1AEE" w14:textId="77777777" w:rsidR="00BD4D02" w:rsidRPr="00BD4D02" w:rsidRDefault="00BD4D02" w:rsidP="00BD4D02">
            <w:pPr>
              <w:rPr>
                <w:sz w:val="20"/>
                <w:szCs w:val="20"/>
              </w:rPr>
            </w:pPr>
          </w:p>
        </w:tc>
        <w:tc>
          <w:tcPr>
            <w:tcW w:w="663" w:type="dxa"/>
            <w:shd w:val="clear" w:color="auto" w:fill="auto"/>
            <w:noWrap/>
            <w:vAlign w:val="bottom"/>
            <w:hideMark/>
          </w:tcPr>
          <w:p w14:paraId="43DBEFC8" w14:textId="77777777" w:rsidR="00BD4D02" w:rsidRPr="00BD4D02" w:rsidRDefault="00BD4D02" w:rsidP="00BD4D02">
            <w:pPr>
              <w:rPr>
                <w:sz w:val="20"/>
                <w:szCs w:val="20"/>
              </w:rPr>
            </w:pPr>
          </w:p>
        </w:tc>
        <w:tc>
          <w:tcPr>
            <w:tcW w:w="663" w:type="dxa"/>
            <w:shd w:val="clear" w:color="auto" w:fill="auto"/>
            <w:noWrap/>
            <w:vAlign w:val="bottom"/>
            <w:hideMark/>
          </w:tcPr>
          <w:p w14:paraId="678AA4E5" w14:textId="77777777" w:rsidR="00BD4D02" w:rsidRPr="00BD4D02" w:rsidRDefault="00BD4D02" w:rsidP="00BD4D02">
            <w:pPr>
              <w:rPr>
                <w:sz w:val="20"/>
                <w:szCs w:val="20"/>
              </w:rPr>
            </w:pPr>
          </w:p>
        </w:tc>
        <w:tc>
          <w:tcPr>
            <w:tcW w:w="663" w:type="dxa"/>
            <w:shd w:val="clear" w:color="auto" w:fill="auto"/>
            <w:noWrap/>
            <w:vAlign w:val="bottom"/>
            <w:hideMark/>
          </w:tcPr>
          <w:p w14:paraId="4CE4CBD8" w14:textId="77777777" w:rsidR="00BD4D02" w:rsidRPr="00BD4D02" w:rsidRDefault="00BD4D02" w:rsidP="00BD4D02">
            <w:pPr>
              <w:rPr>
                <w:sz w:val="20"/>
                <w:szCs w:val="20"/>
              </w:rPr>
            </w:pPr>
          </w:p>
        </w:tc>
        <w:tc>
          <w:tcPr>
            <w:tcW w:w="663" w:type="dxa"/>
            <w:shd w:val="clear" w:color="auto" w:fill="auto"/>
            <w:noWrap/>
            <w:vAlign w:val="bottom"/>
            <w:hideMark/>
          </w:tcPr>
          <w:p w14:paraId="006CF178"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w:t>
            </w:r>
          </w:p>
        </w:tc>
        <w:tc>
          <w:tcPr>
            <w:tcW w:w="663" w:type="dxa"/>
            <w:shd w:val="clear" w:color="auto" w:fill="auto"/>
            <w:noWrap/>
            <w:vAlign w:val="bottom"/>
            <w:hideMark/>
          </w:tcPr>
          <w:p w14:paraId="6E782D75"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w:t>
            </w:r>
          </w:p>
        </w:tc>
        <w:tc>
          <w:tcPr>
            <w:tcW w:w="663" w:type="dxa"/>
            <w:shd w:val="clear" w:color="auto" w:fill="auto"/>
            <w:noWrap/>
            <w:vAlign w:val="bottom"/>
            <w:hideMark/>
          </w:tcPr>
          <w:p w14:paraId="1374C96F"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w:t>
            </w:r>
          </w:p>
        </w:tc>
        <w:tc>
          <w:tcPr>
            <w:tcW w:w="663" w:type="dxa"/>
            <w:shd w:val="clear" w:color="auto" w:fill="auto"/>
            <w:noWrap/>
            <w:vAlign w:val="bottom"/>
            <w:hideMark/>
          </w:tcPr>
          <w:p w14:paraId="026063F2"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w:t>
            </w:r>
          </w:p>
        </w:tc>
        <w:tc>
          <w:tcPr>
            <w:tcW w:w="663" w:type="dxa"/>
            <w:shd w:val="clear" w:color="auto" w:fill="auto"/>
            <w:noWrap/>
            <w:vAlign w:val="bottom"/>
            <w:hideMark/>
          </w:tcPr>
          <w:p w14:paraId="46E6EC5E" w14:textId="77777777" w:rsidR="00BD4D02" w:rsidRPr="00BD4D02" w:rsidRDefault="00BD4D02" w:rsidP="00BD4D02">
            <w:pPr>
              <w:jc w:val="right"/>
              <w:rPr>
                <w:rFonts w:ascii="Calibri" w:hAnsi="Calibri" w:cs="Calibri"/>
                <w:b/>
                <w:bCs/>
                <w:color w:val="000000"/>
                <w:sz w:val="20"/>
                <w:szCs w:val="20"/>
              </w:rPr>
            </w:pPr>
          </w:p>
        </w:tc>
        <w:tc>
          <w:tcPr>
            <w:tcW w:w="1180" w:type="dxa"/>
            <w:shd w:val="clear" w:color="auto" w:fill="auto"/>
            <w:noWrap/>
            <w:vAlign w:val="bottom"/>
            <w:hideMark/>
          </w:tcPr>
          <w:p w14:paraId="2406A77F"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4</w:t>
            </w:r>
          </w:p>
        </w:tc>
      </w:tr>
      <w:tr w:rsidR="00BD4D02" w:rsidRPr="00BD4D02" w14:paraId="5678DFD6" w14:textId="77777777" w:rsidTr="00050580">
        <w:trPr>
          <w:trHeight w:val="144"/>
        </w:trPr>
        <w:tc>
          <w:tcPr>
            <w:tcW w:w="4500" w:type="dxa"/>
            <w:shd w:val="clear" w:color="auto" w:fill="auto"/>
            <w:noWrap/>
            <w:vAlign w:val="bottom"/>
            <w:hideMark/>
          </w:tcPr>
          <w:p w14:paraId="79C0065F"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Contacts (complaints)</w:t>
            </w:r>
          </w:p>
        </w:tc>
        <w:tc>
          <w:tcPr>
            <w:tcW w:w="770" w:type="dxa"/>
            <w:shd w:val="clear" w:color="auto" w:fill="auto"/>
            <w:noWrap/>
            <w:vAlign w:val="bottom"/>
            <w:hideMark/>
          </w:tcPr>
          <w:p w14:paraId="56C16FCF"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55EB376F" w14:textId="77777777" w:rsidR="00BD4D02" w:rsidRPr="00BD4D02" w:rsidRDefault="00BD4D02" w:rsidP="00BD4D02">
            <w:pPr>
              <w:rPr>
                <w:sz w:val="20"/>
                <w:szCs w:val="20"/>
              </w:rPr>
            </w:pPr>
          </w:p>
        </w:tc>
        <w:tc>
          <w:tcPr>
            <w:tcW w:w="663" w:type="dxa"/>
            <w:shd w:val="clear" w:color="auto" w:fill="auto"/>
            <w:noWrap/>
            <w:vAlign w:val="bottom"/>
            <w:hideMark/>
          </w:tcPr>
          <w:p w14:paraId="3BBA71FE" w14:textId="77777777" w:rsidR="00BD4D02" w:rsidRPr="00BD4D02" w:rsidRDefault="00BD4D02" w:rsidP="00BD4D02">
            <w:pPr>
              <w:rPr>
                <w:sz w:val="20"/>
                <w:szCs w:val="20"/>
              </w:rPr>
            </w:pPr>
          </w:p>
        </w:tc>
        <w:tc>
          <w:tcPr>
            <w:tcW w:w="663" w:type="dxa"/>
            <w:shd w:val="clear" w:color="auto" w:fill="auto"/>
            <w:noWrap/>
            <w:vAlign w:val="bottom"/>
            <w:hideMark/>
          </w:tcPr>
          <w:p w14:paraId="7AB400DA" w14:textId="77777777" w:rsidR="00BD4D02" w:rsidRPr="00BD4D02" w:rsidRDefault="00BD4D02" w:rsidP="00BD4D02">
            <w:pPr>
              <w:rPr>
                <w:sz w:val="20"/>
                <w:szCs w:val="20"/>
              </w:rPr>
            </w:pPr>
          </w:p>
        </w:tc>
        <w:tc>
          <w:tcPr>
            <w:tcW w:w="663" w:type="dxa"/>
            <w:shd w:val="clear" w:color="auto" w:fill="auto"/>
            <w:noWrap/>
            <w:vAlign w:val="bottom"/>
            <w:hideMark/>
          </w:tcPr>
          <w:p w14:paraId="66919465" w14:textId="77777777" w:rsidR="00BD4D02" w:rsidRPr="00BD4D02" w:rsidRDefault="00BD4D02" w:rsidP="00BD4D02">
            <w:pPr>
              <w:rPr>
                <w:sz w:val="20"/>
                <w:szCs w:val="20"/>
              </w:rPr>
            </w:pPr>
          </w:p>
        </w:tc>
        <w:tc>
          <w:tcPr>
            <w:tcW w:w="663" w:type="dxa"/>
            <w:shd w:val="clear" w:color="auto" w:fill="auto"/>
            <w:noWrap/>
            <w:vAlign w:val="bottom"/>
            <w:hideMark/>
          </w:tcPr>
          <w:p w14:paraId="79F6C16D" w14:textId="77777777" w:rsidR="00BD4D02" w:rsidRPr="00BD4D02" w:rsidRDefault="00BD4D02" w:rsidP="00BD4D02">
            <w:pPr>
              <w:rPr>
                <w:sz w:val="20"/>
                <w:szCs w:val="20"/>
              </w:rPr>
            </w:pPr>
          </w:p>
        </w:tc>
        <w:tc>
          <w:tcPr>
            <w:tcW w:w="663" w:type="dxa"/>
            <w:shd w:val="clear" w:color="auto" w:fill="auto"/>
            <w:noWrap/>
            <w:vAlign w:val="bottom"/>
            <w:hideMark/>
          </w:tcPr>
          <w:p w14:paraId="0A677188" w14:textId="77777777" w:rsidR="00BD4D02" w:rsidRPr="00BD4D02" w:rsidRDefault="00BD4D02" w:rsidP="00BD4D02">
            <w:pPr>
              <w:rPr>
                <w:sz w:val="20"/>
                <w:szCs w:val="20"/>
              </w:rPr>
            </w:pPr>
          </w:p>
        </w:tc>
        <w:tc>
          <w:tcPr>
            <w:tcW w:w="663" w:type="dxa"/>
            <w:shd w:val="clear" w:color="auto" w:fill="auto"/>
            <w:noWrap/>
            <w:vAlign w:val="bottom"/>
            <w:hideMark/>
          </w:tcPr>
          <w:p w14:paraId="3D7B167E"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361AC06F"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3B5521F0"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4C03D63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4A3D061E" w14:textId="77777777" w:rsidR="00BD4D02" w:rsidRPr="00BD4D02" w:rsidRDefault="00BD4D02" w:rsidP="00BD4D02">
            <w:pPr>
              <w:jc w:val="right"/>
              <w:rPr>
                <w:rFonts w:ascii="Calibri" w:hAnsi="Calibri" w:cs="Calibri"/>
                <w:color w:val="000000"/>
                <w:sz w:val="20"/>
                <w:szCs w:val="20"/>
              </w:rPr>
            </w:pPr>
          </w:p>
        </w:tc>
        <w:tc>
          <w:tcPr>
            <w:tcW w:w="1180" w:type="dxa"/>
            <w:shd w:val="clear" w:color="auto" w:fill="auto"/>
            <w:noWrap/>
            <w:vAlign w:val="bottom"/>
            <w:hideMark/>
          </w:tcPr>
          <w:p w14:paraId="22209174"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4</w:t>
            </w:r>
          </w:p>
        </w:tc>
      </w:tr>
      <w:tr w:rsidR="00BD4D02" w:rsidRPr="00BD4D02" w14:paraId="0BE1017F" w14:textId="77777777" w:rsidTr="00050580">
        <w:trPr>
          <w:trHeight w:val="144"/>
        </w:trPr>
        <w:tc>
          <w:tcPr>
            <w:tcW w:w="4500" w:type="dxa"/>
            <w:shd w:val="clear" w:color="auto" w:fill="auto"/>
            <w:noWrap/>
            <w:vAlign w:val="bottom"/>
            <w:hideMark/>
          </w:tcPr>
          <w:p w14:paraId="763006A1" w14:textId="77777777" w:rsidR="00BD4D02" w:rsidRPr="00BD4D02" w:rsidRDefault="00BD4D02" w:rsidP="00BD4D02">
            <w:pPr>
              <w:ind w:firstLineChars="100" w:firstLine="201"/>
              <w:rPr>
                <w:rFonts w:ascii="Calibri" w:hAnsi="Calibri" w:cs="Calibri"/>
                <w:b/>
                <w:bCs/>
                <w:color w:val="000000"/>
                <w:sz w:val="20"/>
                <w:szCs w:val="20"/>
              </w:rPr>
            </w:pPr>
            <w:r w:rsidRPr="00BD4D02">
              <w:rPr>
                <w:rFonts w:ascii="Calibri" w:hAnsi="Calibri" w:cs="Calibri"/>
                <w:b/>
                <w:bCs/>
                <w:color w:val="000000"/>
                <w:sz w:val="20"/>
                <w:szCs w:val="20"/>
              </w:rPr>
              <w:t>Technology - availability</w:t>
            </w:r>
          </w:p>
        </w:tc>
        <w:tc>
          <w:tcPr>
            <w:tcW w:w="770" w:type="dxa"/>
            <w:shd w:val="clear" w:color="auto" w:fill="auto"/>
            <w:noWrap/>
            <w:vAlign w:val="bottom"/>
            <w:hideMark/>
          </w:tcPr>
          <w:p w14:paraId="2B7B524A"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w:t>
            </w:r>
          </w:p>
        </w:tc>
        <w:tc>
          <w:tcPr>
            <w:tcW w:w="663" w:type="dxa"/>
            <w:shd w:val="clear" w:color="auto" w:fill="auto"/>
            <w:noWrap/>
            <w:vAlign w:val="bottom"/>
            <w:hideMark/>
          </w:tcPr>
          <w:p w14:paraId="3510A7D7"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w:t>
            </w:r>
          </w:p>
        </w:tc>
        <w:tc>
          <w:tcPr>
            <w:tcW w:w="663" w:type="dxa"/>
            <w:shd w:val="clear" w:color="auto" w:fill="auto"/>
            <w:noWrap/>
            <w:vAlign w:val="bottom"/>
            <w:hideMark/>
          </w:tcPr>
          <w:p w14:paraId="5B03BD78"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w:t>
            </w:r>
          </w:p>
        </w:tc>
        <w:tc>
          <w:tcPr>
            <w:tcW w:w="663" w:type="dxa"/>
            <w:shd w:val="clear" w:color="auto" w:fill="auto"/>
            <w:noWrap/>
            <w:vAlign w:val="bottom"/>
            <w:hideMark/>
          </w:tcPr>
          <w:p w14:paraId="398880AE"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w:t>
            </w:r>
          </w:p>
        </w:tc>
        <w:tc>
          <w:tcPr>
            <w:tcW w:w="663" w:type="dxa"/>
            <w:shd w:val="clear" w:color="auto" w:fill="auto"/>
            <w:noWrap/>
            <w:vAlign w:val="bottom"/>
            <w:hideMark/>
          </w:tcPr>
          <w:p w14:paraId="44BD761E"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w:t>
            </w:r>
          </w:p>
        </w:tc>
        <w:tc>
          <w:tcPr>
            <w:tcW w:w="663" w:type="dxa"/>
            <w:shd w:val="clear" w:color="auto" w:fill="auto"/>
            <w:noWrap/>
            <w:vAlign w:val="bottom"/>
            <w:hideMark/>
          </w:tcPr>
          <w:p w14:paraId="33692DBF" w14:textId="77777777" w:rsidR="00BD4D02" w:rsidRPr="00BD4D02" w:rsidRDefault="00BD4D02" w:rsidP="00BD4D02">
            <w:pPr>
              <w:jc w:val="right"/>
              <w:rPr>
                <w:rFonts w:ascii="Calibri" w:hAnsi="Calibri" w:cs="Calibri"/>
                <w:b/>
                <w:bCs/>
                <w:color w:val="000000"/>
                <w:sz w:val="20"/>
                <w:szCs w:val="20"/>
              </w:rPr>
            </w:pPr>
          </w:p>
        </w:tc>
        <w:tc>
          <w:tcPr>
            <w:tcW w:w="663" w:type="dxa"/>
            <w:shd w:val="clear" w:color="auto" w:fill="auto"/>
            <w:noWrap/>
            <w:vAlign w:val="bottom"/>
            <w:hideMark/>
          </w:tcPr>
          <w:p w14:paraId="650CD1D9" w14:textId="77777777" w:rsidR="00BD4D02" w:rsidRPr="00BD4D02" w:rsidRDefault="00BD4D02" w:rsidP="00BD4D02">
            <w:pPr>
              <w:rPr>
                <w:sz w:val="20"/>
                <w:szCs w:val="20"/>
              </w:rPr>
            </w:pPr>
          </w:p>
        </w:tc>
        <w:tc>
          <w:tcPr>
            <w:tcW w:w="663" w:type="dxa"/>
            <w:shd w:val="clear" w:color="auto" w:fill="auto"/>
            <w:noWrap/>
            <w:vAlign w:val="bottom"/>
            <w:hideMark/>
          </w:tcPr>
          <w:p w14:paraId="37DB6D64" w14:textId="77777777" w:rsidR="00BD4D02" w:rsidRPr="00BD4D02" w:rsidRDefault="00BD4D02" w:rsidP="00BD4D02">
            <w:pPr>
              <w:rPr>
                <w:sz w:val="20"/>
                <w:szCs w:val="20"/>
              </w:rPr>
            </w:pPr>
          </w:p>
        </w:tc>
        <w:tc>
          <w:tcPr>
            <w:tcW w:w="663" w:type="dxa"/>
            <w:shd w:val="clear" w:color="auto" w:fill="auto"/>
            <w:noWrap/>
            <w:vAlign w:val="bottom"/>
            <w:hideMark/>
          </w:tcPr>
          <w:p w14:paraId="78005CF5"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w:t>
            </w:r>
          </w:p>
        </w:tc>
        <w:tc>
          <w:tcPr>
            <w:tcW w:w="663" w:type="dxa"/>
            <w:shd w:val="clear" w:color="auto" w:fill="auto"/>
            <w:noWrap/>
            <w:vAlign w:val="bottom"/>
            <w:hideMark/>
          </w:tcPr>
          <w:p w14:paraId="40FB15B8" w14:textId="77777777" w:rsidR="00BD4D02" w:rsidRPr="00BD4D02" w:rsidRDefault="00BD4D02" w:rsidP="00BD4D02">
            <w:pPr>
              <w:jc w:val="right"/>
              <w:rPr>
                <w:rFonts w:ascii="Calibri" w:hAnsi="Calibri" w:cs="Calibri"/>
                <w:b/>
                <w:bCs/>
                <w:color w:val="000000"/>
                <w:sz w:val="20"/>
                <w:szCs w:val="20"/>
              </w:rPr>
            </w:pPr>
          </w:p>
        </w:tc>
        <w:tc>
          <w:tcPr>
            <w:tcW w:w="663" w:type="dxa"/>
            <w:shd w:val="clear" w:color="auto" w:fill="auto"/>
            <w:noWrap/>
            <w:vAlign w:val="bottom"/>
            <w:hideMark/>
          </w:tcPr>
          <w:p w14:paraId="7B7D1147" w14:textId="77777777" w:rsidR="00BD4D02" w:rsidRPr="00BD4D02" w:rsidRDefault="00BD4D02" w:rsidP="00BD4D02">
            <w:pPr>
              <w:rPr>
                <w:sz w:val="20"/>
                <w:szCs w:val="20"/>
              </w:rPr>
            </w:pPr>
          </w:p>
        </w:tc>
        <w:tc>
          <w:tcPr>
            <w:tcW w:w="663" w:type="dxa"/>
            <w:shd w:val="clear" w:color="auto" w:fill="auto"/>
            <w:noWrap/>
            <w:vAlign w:val="bottom"/>
            <w:hideMark/>
          </w:tcPr>
          <w:p w14:paraId="080CBE0B"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w:t>
            </w:r>
          </w:p>
        </w:tc>
        <w:tc>
          <w:tcPr>
            <w:tcW w:w="1180" w:type="dxa"/>
            <w:shd w:val="clear" w:color="auto" w:fill="auto"/>
            <w:noWrap/>
            <w:vAlign w:val="bottom"/>
            <w:hideMark/>
          </w:tcPr>
          <w:p w14:paraId="6BE3592D"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7</w:t>
            </w:r>
          </w:p>
        </w:tc>
      </w:tr>
      <w:tr w:rsidR="00BD4D02" w:rsidRPr="00BD4D02" w14:paraId="7F130E1F" w14:textId="77777777" w:rsidTr="00050580">
        <w:trPr>
          <w:trHeight w:val="144"/>
        </w:trPr>
        <w:tc>
          <w:tcPr>
            <w:tcW w:w="4500" w:type="dxa"/>
            <w:shd w:val="clear" w:color="auto" w:fill="auto"/>
            <w:noWrap/>
            <w:vAlign w:val="bottom"/>
            <w:hideMark/>
          </w:tcPr>
          <w:p w14:paraId="52031936"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Connections - residential</w:t>
            </w:r>
          </w:p>
        </w:tc>
        <w:tc>
          <w:tcPr>
            <w:tcW w:w="770" w:type="dxa"/>
            <w:shd w:val="clear" w:color="auto" w:fill="auto"/>
            <w:noWrap/>
            <w:vAlign w:val="bottom"/>
            <w:hideMark/>
          </w:tcPr>
          <w:p w14:paraId="5BEB0FAC"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63C51844" w14:textId="77777777" w:rsidR="00BD4D02" w:rsidRPr="00BD4D02" w:rsidRDefault="00BD4D02" w:rsidP="00BD4D02">
            <w:pPr>
              <w:rPr>
                <w:sz w:val="20"/>
                <w:szCs w:val="20"/>
              </w:rPr>
            </w:pPr>
          </w:p>
        </w:tc>
        <w:tc>
          <w:tcPr>
            <w:tcW w:w="663" w:type="dxa"/>
            <w:shd w:val="clear" w:color="auto" w:fill="auto"/>
            <w:noWrap/>
            <w:vAlign w:val="bottom"/>
            <w:hideMark/>
          </w:tcPr>
          <w:p w14:paraId="1B40E04B" w14:textId="77777777" w:rsidR="00BD4D02" w:rsidRPr="00BD4D02" w:rsidRDefault="00BD4D02" w:rsidP="00BD4D02">
            <w:pPr>
              <w:rPr>
                <w:sz w:val="20"/>
                <w:szCs w:val="20"/>
              </w:rPr>
            </w:pPr>
          </w:p>
        </w:tc>
        <w:tc>
          <w:tcPr>
            <w:tcW w:w="663" w:type="dxa"/>
            <w:shd w:val="clear" w:color="auto" w:fill="auto"/>
            <w:noWrap/>
            <w:vAlign w:val="bottom"/>
            <w:hideMark/>
          </w:tcPr>
          <w:p w14:paraId="22E94CD4" w14:textId="77777777" w:rsidR="00BD4D02" w:rsidRPr="00BD4D02" w:rsidRDefault="00BD4D02" w:rsidP="00BD4D02">
            <w:pPr>
              <w:rPr>
                <w:sz w:val="20"/>
                <w:szCs w:val="20"/>
              </w:rPr>
            </w:pPr>
          </w:p>
        </w:tc>
        <w:tc>
          <w:tcPr>
            <w:tcW w:w="663" w:type="dxa"/>
            <w:shd w:val="clear" w:color="auto" w:fill="auto"/>
            <w:noWrap/>
            <w:vAlign w:val="bottom"/>
            <w:hideMark/>
          </w:tcPr>
          <w:p w14:paraId="6B35219A" w14:textId="77777777" w:rsidR="00BD4D02" w:rsidRPr="00BD4D02" w:rsidRDefault="00BD4D02" w:rsidP="00BD4D02">
            <w:pPr>
              <w:rPr>
                <w:sz w:val="20"/>
                <w:szCs w:val="20"/>
              </w:rPr>
            </w:pPr>
          </w:p>
        </w:tc>
        <w:tc>
          <w:tcPr>
            <w:tcW w:w="663" w:type="dxa"/>
            <w:shd w:val="clear" w:color="auto" w:fill="auto"/>
            <w:noWrap/>
            <w:vAlign w:val="bottom"/>
            <w:hideMark/>
          </w:tcPr>
          <w:p w14:paraId="705700D0" w14:textId="77777777" w:rsidR="00BD4D02" w:rsidRPr="00BD4D02" w:rsidRDefault="00BD4D02" w:rsidP="00BD4D02">
            <w:pPr>
              <w:rPr>
                <w:sz w:val="20"/>
                <w:szCs w:val="20"/>
              </w:rPr>
            </w:pPr>
          </w:p>
        </w:tc>
        <w:tc>
          <w:tcPr>
            <w:tcW w:w="663" w:type="dxa"/>
            <w:shd w:val="clear" w:color="auto" w:fill="auto"/>
            <w:noWrap/>
            <w:vAlign w:val="bottom"/>
            <w:hideMark/>
          </w:tcPr>
          <w:p w14:paraId="54C70CBE" w14:textId="77777777" w:rsidR="00BD4D02" w:rsidRPr="00BD4D02" w:rsidRDefault="00BD4D02" w:rsidP="00BD4D02">
            <w:pPr>
              <w:rPr>
                <w:sz w:val="20"/>
                <w:szCs w:val="20"/>
              </w:rPr>
            </w:pPr>
          </w:p>
        </w:tc>
        <w:tc>
          <w:tcPr>
            <w:tcW w:w="663" w:type="dxa"/>
            <w:shd w:val="clear" w:color="auto" w:fill="auto"/>
            <w:noWrap/>
            <w:vAlign w:val="bottom"/>
            <w:hideMark/>
          </w:tcPr>
          <w:p w14:paraId="7340C57D" w14:textId="77777777" w:rsidR="00BD4D02" w:rsidRPr="00BD4D02" w:rsidRDefault="00BD4D02" w:rsidP="00BD4D02">
            <w:pPr>
              <w:rPr>
                <w:sz w:val="20"/>
                <w:szCs w:val="20"/>
              </w:rPr>
            </w:pPr>
          </w:p>
        </w:tc>
        <w:tc>
          <w:tcPr>
            <w:tcW w:w="663" w:type="dxa"/>
            <w:shd w:val="clear" w:color="auto" w:fill="auto"/>
            <w:noWrap/>
            <w:vAlign w:val="bottom"/>
            <w:hideMark/>
          </w:tcPr>
          <w:p w14:paraId="16E53EE7"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73AAEC5F"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7F3AEB26" w14:textId="77777777" w:rsidR="00BD4D02" w:rsidRPr="00BD4D02" w:rsidRDefault="00BD4D02" w:rsidP="00BD4D02">
            <w:pPr>
              <w:rPr>
                <w:sz w:val="20"/>
                <w:szCs w:val="20"/>
              </w:rPr>
            </w:pPr>
          </w:p>
        </w:tc>
        <w:tc>
          <w:tcPr>
            <w:tcW w:w="663" w:type="dxa"/>
            <w:shd w:val="clear" w:color="auto" w:fill="auto"/>
            <w:noWrap/>
            <w:vAlign w:val="bottom"/>
            <w:hideMark/>
          </w:tcPr>
          <w:p w14:paraId="125C0DB7" w14:textId="77777777" w:rsidR="00BD4D02" w:rsidRPr="00BD4D02" w:rsidRDefault="00BD4D02" w:rsidP="00BD4D02">
            <w:pPr>
              <w:rPr>
                <w:sz w:val="20"/>
                <w:szCs w:val="20"/>
              </w:rPr>
            </w:pPr>
          </w:p>
        </w:tc>
        <w:tc>
          <w:tcPr>
            <w:tcW w:w="1180" w:type="dxa"/>
            <w:shd w:val="clear" w:color="auto" w:fill="auto"/>
            <w:noWrap/>
            <w:vAlign w:val="bottom"/>
            <w:hideMark/>
          </w:tcPr>
          <w:p w14:paraId="7086D129"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3807D398" w14:textId="77777777" w:rsidTr="00050580">
        <w:trPr>
          <w:trHeight w:val="144"/>
        </w:trPr>
        <w:tc>
          <w:tcPr>
            <w:tcW w:w="4500" w:type="dxa"/>
            <w:shd w:val="clear" w:color="auto" w:fill="auto"/>
            <w:noWrap/>
            <w:vAlign w:val="bottom"/>
            <w:hideMark/>
          </w:tcPr>
          <w:p w14:paraId="1911C1C3"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Operating platforms</w:t>
            </w:r>
          </w:p>
        </w:tc>
        <w:tc>
          <w:tcPr>
            <w:tcW w:w="770" w:type="dxa"/>
            <w:shd w:val="clear" w:color="auto" w:fill="auto"/>
            <w:noWrap/>
            <w:vAlign w:val="bottom"/>
            <w:hideMark/>
          </w:tcPr>
          <w:p w14:paraId="59430B1D"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7C0E36FE"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486097D9"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3CAE3720"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0285918F"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592DC0A3"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4B441511" w14:textId="77777777" w:rsidR="00BD4D02" w:rsidRPr="00BD4D02" w:rsidRDefault="00BD4D02" w:rsidP="00BD4D02">
            <w:pPr>
              <w:rPr>
                <w:sz w:val="20"/>
                <w:szCs w:val="20"/>
              </w:rPr>
            </w:pPr>
          </w:p>
        </w:tc>
        <w:tc>
          <w:tcPr>
            <w:tcW w:w="663" w:type="dxa"/>
            <w:shd w:val="clear" w:color="auto" w:fill="auto"/>
            <w:noWrap/>
            <w:vAlign w:val="bottom"/>
            <w:hideMark/>
          </w:tcPr>
          <w:p w14:paraId="0DE91495" w14:textId="77777777" w:rsidR="00BD4D02" w:rsidRPr="00BD4D02" w:rsidRDefault="00BD4D02" w:rsidP="00BD4D02">
            <w:pPr>
              <w:rPr>
                <w:sz w:val="20"/>
                <w:szCs w:val="20"/>
              </w:rPr>
            </w:pPr>
          </w:p>
        </w:tc>
        <w:tc>
          <w:tcPr>
            <w:tcW w:w="663" w:type="dxa"/>
            <w:shd w:val="clear" w:color="auto" w:fill="auto"/>
            <w:noWrap/>
            <w:vAlign w:val="bottom"/>
            <w:hideMark/>
          </w:tcPr>
          <w:p w14:paraId="41C73EB8" w14:textId="77777777" w:rsidR="00BD4D02" w:rsidRPr="00BD4D02" w:rsidRDefault="00BD4D02" w:rsidP="00BD4D02">
            <w:pPr>
              <w:rPr>
                <w:sz w:val="20"/>
                <w:szCs w:val="20"/>
              </w:rPr>
            </w:pPr>
          </w:p>
        </w:tc>
        <w:tc>
          <w:tcPr>
            <w:tcW w:w="663" w:type="dxa"/>
            <w:shd w:val="clear" w:color="auto" w:fill="auto"/>
            <w:noWrap/>
            <w:vAlign w:val="bottom"/>
            <w:hideMark/>
          </w:tcPr>
          <w:p w14:paraId="13BDE13A" w14:textId="77777777" w:rsidR="00BD4D02" w:rsidRPr="00BD4D02" w:rsidRDefault="00BD4D02" w:rsidP="00BD4D02">
            <w:pPr>
              <w:rPr>
                <w:sz w:val="20"/>
                <w:szCs w:val="20"/>
              </w:rPr>
            </w:pPr>
          </w:p>
        </w:tc>
        <w:tc>
          <w:tcPr>
            <w:tcW w:w="663" w:type="dxa"/>
            <w:shd w:val="clear" w:color="auto" w:fill="auto"/>
            <w:noWrap/>
            <w:vAlign w:val="bottom"/>
            <w:hideMark/>
          </w:tcPr>
          <w:p w14:paraId="76763360" w14:textId="77777777" w:rsidR="00BD4D02" w:rsidRPr="00BD4D02" w:rsidRDefault="00BD4D02" w:rsidP="00BD4D02">
            <w:pPr>
              <w:rPr>
                <w:sz w:val="20"/>
                <w:szCs w:val="20"/>
              </w:rPr>
            </w:pPr>
          </w:p>
        </w:tc>
        <w:tc>
          <w:tcPr>
            <w:tcW w:w="663" w:type="dxa"/>
            <w:shd w:val="clear" w:color="auto" w:fill="auto"/>
            <w:noWrap/>
            <w:vAlign w:val="bottom"/>
            <w:hideMark/>
          </w:tcPr>
          <w:p w14:paraId="2F9DEAC1" w14:textId="77777777" w:rsidR="00BD4D02" w:rsidRPr="00BD4D02" w:rsidRDefault="00BD4D02" w:rsidP="00BD4D02">
            <w:pPr>
              <w:rPr>
                <w:sz w:val="20"/>
                <w:szCs w:val="20"/>
              </w:rPr>
            </w:pPr>
          </w:p>
        </w:tc>
        <w:tc>
          <w:tcPr>
            <w:tcW w:w="1180" w:type="dxa"/>
            <w:shd w:val="clear" w:color="auto" w:fill="auto"/>
            <w:noWrap/>
            <w:vAlign w:val="bottom"/>
            <w:hideMark/>
          </w:tcPr>
          <w:p w14:paraId="5843B1C6"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5</w:t>
            </w:r>
          </w:p>
        </w:tc>
      </w:tr>
      <w:tr w:rsidR="00BD4D02" w:rsidRPr="00BD4D02" w14:paraId="3CEA472E" w14:textId="77777777" w:rsidTr="00050580">
        <w:trPr>
          <w:trHeight w:val="144"/>
        </w:trPr>
        <w:tc>
          <w:tcPr>
            <w:tcW w:w="4500" w:type="dxa"/>
            <w:shd w:val="clear" w:color="auto" w:fill="auto"/>
            <w:noWrap/>
            <w:vAlign w:val="bottom"/>
            <w:hideMark/>
          </w:tcPr>
          <w:p w14:paraId="1F4D3FD1"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Service availability</w:t>
            </w:r>
          </w:p>
        </w:tc>
        <w:tc>
          <w:tcPr>
            <w:tcW w:w="770" w:type="dxa"/>
            <w:shd w:val="clear" w:color="auto" w:fill="auto"/>
            <w:noWrap/>
            <w:vAlign w:val="bottom"/>
            <w:hideMark/>
          </w:tcPr>
          <w:p w14:paraId="71960758"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23A4B3AE" w14:textId="77777777" w:rsidR="00BD4D02" w:rsidRPr="00BD4D02" w:rsidRDefault="00BD4D02" w:rsidP="00BD4D02">
            <w:pPr>
              <w:rPr>
                <w:sz w:val="20"/>
                <w:szCs w:val="20"/>
              </w:rPr>
            </w:pPr>
          </w:p>
        </w:tc>
        <w:tc>
          <w:tcPr>
            <w:tcW w:w="663" w:type="dxa"/>
            <w:shd w:val="clear" w:color="auto" w:fill="auto"/>
            <w:noWrap/>
            <w:vAlign w:val="bottom"/>
            <w:hideMark/>
          </w:tcPr>
          <w:p w14:paraId="008DE5AB" w14:textId="77777777" w:rsidR="00BD4D02" w:rsidRPr="00BD4D02" w:rsidRDefault="00BD4D02" w:rsidP="00BD4D02">
            <w:pPr>
              <w:rPr>
                <w:sz w:val="20"/>
                <w:szCs w:val="20"/>
              </w:rPr>
            </w:pPr>
          </w:p>
        </w:tc>
        <w:tc>
          <w:tcPr>
            <w:tcW w:w="663" w:type="dxa"/>
            <w:shd w:val="clear" w:color="auto" w:fill="auto"/>
            <w:noWrap/>
            <w:vAlign w:val="bottom"/>
            <w:hideMark/>
          </w:tcPr>
          <w:p w14:paraId="5EB08139" w14:textId="77777777" w:rsidR="00BD4D02" w:rsidRPr="00BD4D02" w:rsidRDefault="00BD4D02" w:rsidP="00BD4D02">
            <w:pPr>
              <w:rPr>
                <w:sz w:val="20"/>
                <w:szCs w:val="20"/>
              </w:rPr>
            </w:pPr>
          </w:p>
        </w:tc>
        <w:tc>
          <w:tcPr>
            <w:tcW w:w="663" w:type="dxa"/>
            <w:shd w:val="clear" w:color="auto" w:fill="auto"/>
            <w:noWrap/>
            <w:vAlign w:val="bottom"/>
            <w:hideMark/>
          </w:tcPr>
          <w:p w14:paraId="345A5913" w14:textId="77777777" w:rsidR="00BD4D02" w:rsidRPr="00BD4D02" w:rsidRDefault="00BD4D02" w:rsidP="00BD4D02">
            <w:pPr>
              <w:rPr>
                <w:sz w:val="20"/>
                <w:szCs w:val="20"/>
              </w:rPr>
            </w:pPr>
          </w:p>
        </w:tc>
        <w:tc>
          <w:tcPr>
            <w:tcW w:w="663" w:type="dxa"/>
            <w:shd w:val="clear" w:color="auto" w:fill="auto"/>
            <w:noWrap/>
            <w:vAlign w:val="bottom"/>
            <w:hideMark/>
          </w:tcPr>
          <w:p w14:paraId="09180C64" w14:textId="77777777" w:rsidR="00BD4D02" w:rsidRPr="00BD4D02" w:rsidRDefault="00BD4D02" w:rsidP="00BD4D02">
            <w:pPr>
              <w:rPr>
                <w:sz w:val="20"/>
                <w:szCs w:val="20"/>
              </w:rPr>
            </w:pPr>
          </w:p>
        </w:tc>
        <w:tc>
          <w:tcPr>
            <w:tcW w:w="663" w:type="dxa"/>
            <w:shd w:val="clear" w:color="auto" w:fill="auto"/>
            <w:noWrap/>
            <w:vAlign w:val="bottom"/>
            <w:hideMark/>
          </w:tcPr>
          <w:p w14:paraId="7AA00DAC" w14:textId="77777777" w:rsidR="00BD4D02" w:rsidRPr="00BD4D02" w:rsidRDefault="00BD4D02" w:rsidP="00BD4D02">
            <w:pPr>
              <w:rPr>
                <w:sz w:val="20"/>
                <w:szCs w:val="20"/>
              </w:rPr>
            </w:pPr>
          </w:p>
        </w:tc>
        <w:tc>
          <w:tcPr>
            <w:tcW w:w="663" w:type="dxa"/>
            <w:shd w:val="clear" w:color="auto" w:fill="auto"/>
            <w:noWrap/>
            <w:vAlign w:val="bottom"/>
            <w:hideMark/>
          </w:tcPr>
          <w:p w14:paraId="69398C46" w14:textId="77777777" w:rsidR="00BD4D02" w:rsidRPr="00BD4D02" w:rsidRDefault="00BD4D02" w:rsidP="00BD4D02">
            <w:pPr>
              <w:rPr>
                <w:sz w:val="20"/>
                <w:szCs w:val="20"/>
              </w:rPr>
            </w:pPr>
          </w:p>
        </w:tc>
        <w:tc>
          <w:tcPr>
            <w:tcW w:w="663" w:type="dxa"/>
            <w:shd w:val="clear" w:color="auto" w:fill="auto"/>
            <w:noWrap/>
            <w:vAlign w:val="bottom"/>
            <w:hideMark/>
          </w:tcPr>
          <w:p w14:paraId="5FC73EF5" w14:textId="77777777" w:rsidR="00BD4D02" w:rsidRPr="00BD4D02" w:rsidRDefault="00BD4D02" w:rsidP="00BD4D02">
            <w:pPr>
              <w:rPr>
                <w:sz w:val="20"/>
                <w:szCs w:val="20"/>
              </w:rPr>
            </w:pPr>
          </w:p>
        </w:tc>
        <w:tc>
          <w:tcPr>
            <w:tcW w:w="663" w:type="dxa"/>
            <w:shd w:val="clear" w:color="auto" w:fill="auto"/>
            <w:noWrap/>
            <w:vAlign w:val="bottom"/>
            <w:hideMark/>
          </w:tcPr>
          <w:p w14:paraId="79C71B8F" w14:textId="77777777" w:rsidR="00BD4D02" w:rsidRPr="00BD4D02" w:rsidRDefault="00BD4D02" w:rsidP="00BD4D02">
            <w:pPr>
              <w:rPr>
                <w:sz w:val="20"/>
                <w:szCs w:val="20"/>
              </w:rPr>
            </w:pPr>
          </w:p>
        </w:tc>
        <w:tc>
          <w:tcPr>
            <w:tcW w:w="663" w:type="dxa"/>
            <w:shd w:val="clear" w:color="auto" w:fill="auto"/>
            <w:noWrap/>
            <w:vAlign w:val="bottom"/>
            <w:hideMark/>
          </w:tcPr>
          <w:p w14:paraId="667945FE" w14:textId="77777777" w:rsidR="00BD4D02" w:rsidRPr="00BD4D02" w:rsidRDefault="00BD4D02" w:rsidP="00BD4D02">
            <w:pPr>
              <w:rPr>
                <w:sz w:val="20"/>
                <w:szCs w:val="20"/>
              </w:rPr>
            </w:pPr>
          </w:p>
        </w:tc>
        <w:tc>
          <w:tcPr>
            <w:tcW w:w="663" w:type="dxa"/>
            <w:shd w:val="clear" w:color="auto" w:fill="auto"/>
            <w:noWrap/>
            <w:vAlign w:val="bottom"/>
            <w:hideMark/>
          </w:tcPr>
          <w:p w14:paraId="557F03A7"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1180" w:type="dxa"/>
            <w:shd w:val="clear" w:color="auto" w:fill="auto"/>
            <w:noWrap/>
            <w:vAlign w:val="bottom"/>
            <w:hideMark/>
          </w:tcPr>
          <w:p w14:paraId="04BC0A78"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69B70B67" w14:textId="77777777" w:rsidTr="00050580">
        <w:trPr>
          <w:trHeight w:val="144"/>
        </w:trPr>
        <w:tc>
          <w:tcPr>
            <w:tcW w:w="4500" w:type="dxa"/>
            <w:shd w:val="clear" w:color="auto" w:fill="auto"/>
            <w:noWrap/>
            <w:vAlign w:val="bottom"/>
            <w:hideMark/>
          </w:tcPr>
          <w:p w14:paraId="02B98249" w14:textId="77777777" w:rsidR="00BD4D02" w:rsidRPr="00BD4D02" w:rsidRDefault="00BD4D02" w:rsidP="00BD4D02">
            <w:pPr>
              <w:ind w:firstLineChars="100" w:firstLine="201"/>
              <w:rPr>
                <w:rFonts w:ascii="Calibri" w:hAnsi="Calibri" w:cs="Calibri"/>
                <w:b/>
                <w:bCs/>
                <w:color w:val="000000"/>
                <w:sz w:val="20"/>
                <w:szCs w:val="20"/>
              </w:rPr>
            </w:pPr>
            <w:r w:rsidRPr="00BD4D02">
              <w:rPr>
                <w:rFonts w:ascii="Calibri" w:hAnsi="Calibri" w:cs="Calibri"/>
                <w:b/>
                <w:bCs/>
                <w:color w:val="000000"/>
                <w:sz w:val="20"/>
                <w:szCs w:val="20"/>
              </w:rPr>
              <w:t>Technology - use</w:t>
            </w:r>
          </w:p>
        </w:tc>
        <w:tc>
          <w:tcPr>
            <w:tcW w:w="770" w:type="dxa"/>
            <w:shd w:val="clear" w:color="auto" w:fill="auto"/>
            <w:noWrap/>
            <w:vAlign w:val="bottom"/>
            <w:hideMark/>
          </w:tcPr>
          <w:p w14:paraId="21C7E471"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w:t>
            </w:r>
          </w:p>
        </w:tc>
        <w:tc>
          <w:tcPr>
            <w:tcW w:w="663" w:type="dxa"/>
            <w:shd w:val="clear" w:color="auto" w:fill="auto"/>
            <w:noWrap/>
            <w:vAlign w:val="bottom"/>
            <w:hideMark/>
          </w:tcPr>
          <w:p w14:paraId="0C938631" w14:textId="77777777" w:rsidR="00BD4D02" w:rsidRPr="00BD4D02" w:rsidRDefault="00BD4D02" w:rsidP="00BD4D02">
            <w:pPr>
              <w:jc w:val="right"/>
              <w:rPr>
                <w:rFonts w:ascii="Calibri" w:hAnsi="Calibri" w:cs="Calibri"/>
                <w:b/>
                <w:bCs/>
                <w:color w:val="000000"/>
                <w:sz w:val="20"/>
                <w:szCs w:val="20"/>
              </w:rPr>
            </w:pPr>
          </w:p>
        </w:tc>
        <w:tc>
          <w:tcPr>
            <w:tcW w:w="663" w:type="dxa"/>
            <w:shd w:val="clear" w:color="auto" w:fill="auto"/>
            <w:noWrap/>
            <w:vAlign w:val="bottom"/>
            <w:hideMark/>
          </w:tcPr>
          <w:p w14:paraId="128FC6B1" w14:textId="77777777" w:rsidR="00BD4D02" w:rsidRPr="00BD4D02" w:rsidRDefault="00BD4D02" w:rsidP="00BD4D02">
            <w:pPr>
              <w:rPr>
                <w:sz w:val="20"/>
                <w:szCs w:val="20"/>
              </w:rPr>
            </w:pPr>
          </w:p>
        </w:tc>
        <w:tc>
          <w:tcPr>
            <w:tcW w:w="663" w:type="dxa"/>
            <w:shd w:val="clear" w:color="auto" w:fill="auto"/>
            <w:noWrap/>
            <w:vAlign w:val="bottom"/>
            <w:hideMark/>
          </w:tcPr>
          <w:p w14:paraId="30C63351" w14:textId="77777777" w:rsidR="00BD4D02" w:rsidRPr="00BD4D02" w:rsidRDefault="00BD4D02" w:rsidP="00BD4D02">
            <w:pPr>
              <w:rPr>
                <w:sz w:val="20"/>
                <w:szCs w:val="20"/>
              </w:rPr>
            </w:pPr>
          </w:p>
        </w:tc>
        <w:tc>
          <w:tcPr>
            <w:tcW w:w="663" w:type="dxa"/>
            <w:shd w:val="clear" w:color="auto" w:fill="auto"/>
            <w:noWrap/>
            <w:vAlign w:val="bottom"/>
            <w:hideMark/>
          </w:tcPr>
          <w:p w14:paraId="3EAB7B0D" w14:textId="77777777" w:rsidR="00BD4D02" w:rsidRPr="00BD4D02" w:rsidRDefault="00BD4D02" w:rsidP="00BD4D02">
            <w:pPr>
              <w:rPr>
                <w:sz w:val="20"/>
                <w:szCs w:val="20"/>
              </w:rPr>
            </w:pPr>
          </w:p>
        </w:tc>
        <w:tc>
          <w:tcPr>
            <w:tcW w:w="663" w:type="dxa"/>
            <w:shd w:val="clear" w:color="auto" w:fill="auto"/>
            <w:noWrap/>
            <w:vAlign w:val="bottom"/>
            <w:hideMark/>
          </w:tcPr>
          <w:p w14:paraId="539C6648" w14:textId="77777777" w:rsidR="00BD4D02" w:rsidRPr="00BD4D02" w:rsidRDefault="00BD4D02" w:rsidP="00BD4D02">
            <w:pPr>
              <w:rPr>
                <w:sz w:val="20"/>
                <w:szCs w:val="20"/>
              </w:rPr>
            </w:pPr>
          </w:p>
        </w:tc>
        <w:tc>
          <w:tcPr>
            <w:tcW w:w="663" w:type="dxa"/>
            <w:shd w:val="clear" w:color="auto" w:fill="auto"/>
            <w:noWrap/>
            <w:vAlign w:val="bottom"/>
            <w:hideMark/>
          </w:tcPr>
          <w:p w14:paraId="320CB9B7" w14:textId="77777777" w:rsidR="00BD4D02" w:rsidRPr="00BD4D02" w:rsidRDefault="00BD4D02" w:rsidP="00BD4D02">
            <w:pPr>
              <w:rPr>
                <w:sz w:val="20"/>
                <w:szCs w:val="20"/>
              </w:rPr>
            </w:pPr>
          </w:p>
        </w:tc>
        <w:tc>
          <w:tcPr>
            <w:tcW w:w="663" w:type="dxa"/>
            <w:shd w:val="clear" w:color="auto" w:fill="auto"/>
            <w:noWrap/>
            <w:vAlign w:val="bottom"/>
            <w:hideMark/>
          </w:tcPr>
          <w:p w14:paraId="2D3D67FD" w14:textId="77777777" w:rsidR="00BD4D02" w:rsidRPr="00BD4D02" w:rsidRDefault="00BD4D02" w:rsidP="00BD4D02">
            <w:pPr>
              <w:rPr>
                <w:sz w:val="20"/>
                <w:szCs w:val="20"/>
              </w:rPr>
            </w:pPr>
          </w:p>
        </w:tc>
        <w:tc>
          <w:tcPr>
            <w:tcW w:w="663" w:type="dxa"/>
            <w:shd w:val="clear" w:color="auto" w:fill="auto"/>
            <w:noWrap/>
            <w:vAlign w:val="bottom"/>
            <w:hideMark/>
          </w:tcPr>
          <w:p w14:paraId="27CB2BD4" w14:textId="77777777" w:rsidR="00BD4D02" w:rsidRPr="00BD4D02" w:rsidRDefault="00BD4D02" w:rsidP="00BD4D02">
            <w:pPr>
              <w:rPr>
                <w:sz w:val="20"/>
                <w:szCs w:val="20"/>
              </w:rPr>
            </w:pPr>
          </w:p>
        </w:tc>
        <w:tc>
          <w:tcPr>
            <w:tcW w:w="663" w:type="dxa"/>
            <w:shd w:val="clear" w:color="auto" w:fill="auto"/>
            <w:noWrap/>
            <w:vAlign w:val="bottom"/>
            <w:hideMark/>
          </w:tcPr>
          <w:p w14:paraId="385D3277" w14:textId="77777777" w:rsidR="00BD4D02" w:rsidRPr="00BD4D02" w:rsidRDefault="00BD4D02" w:rsidP="00BD4D02">
            <w:pPr>
              <w:rPr>
                <w:sz w:val="20"/>
                <w:szCs w:val="20"/>
              </w:rPr>
            </w:pPr>
          </w:p>
        </w:tc>
        <w:tc>
          <w:tcPr>
            <w:tcW w:w="663" w:type="dxa"/>
            <w:shd w:val="clear" w:color="auto" w:fill="auto"/>
            <w:noWrap/>
            <w:vAlign w:val="bottom"/>
            <w:hideMark/>
          </w:tcPr>
          <w:p w14:paraId="6A65DFE3"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3</w:t>
            </w:r>
          </w:p>
        </w:tc>
        <w:tc>
          <w:tcPr>
            <w:tcW w:w="663" w:type="dxa"/>
            <w:shd w:val="clear" w:color="auto" w:fill="auto"/>
            <w:noWrap/>
            <w:vAlign w:val="bottom"/>
            <w:hideMark/>
          </w:tcPr>
          <w:p w14:paraId="614AED71"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3</w:t>
            </w:r>
          </w:p>
        </w:tc>
        <w:tc>
          <w:tcPr>
            <w:tcW w:w="1180" w:type="dxa"/>
            <w:shd w:val="clear" w:color="auto" w:fill="auto"/>
            <w:noWrap/>
            <w:vAlign w:val="bottom"/>
            <w:hideMark/>
          </w:tcPr>
          <w:p w14:paraId="1283EA0F"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7</w:t>
            </w:r>
          </w:p>
        </w:tc>
      </w:tr>
      <w:tr w:rsidR="00BD4D02" w:rsidRPr="00BD4D02" w14:paraId="2ADD2656" w14:textId="77777777" w:rsidTr="00050580">
        <w:trPr>
          <w:trHeight w:val="144"/>
        </w:trPr>
        <w:tc>
          <w:tcPr>
            <w:tcW w:w="4500" w:type="dxa"/>
            <w:shd w:val="clear" w:color="auto" w:fill="auto"/>
            <w:noWrap/>
            <w:vAlign w:val="bottom"/>
            <w:hideMark/>
          </w:tcPr>
          <w:p w14:paraId="2E3D52F9"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Communications services - households</w:t>
            </w:r>
          </w:p>
        </w:tc>
        <w:tc>
          <w:tcPr>
            <w:tcW w:w="770" w:type="dxa"/>
            <w:shd w:val="clear" w:color="auto" w:fill="auto"/>
            <w:noWrap/>
            <w:vAlign w:val="bottom"/>
            <w:hideMark/>
          </w:tcPr>
          <w:p w14:paraId="01A4EB29"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2EDE290F" w14:textId="77777777" w:rsidR="00BD4D02" w:rsidRPr="00BD4D02" w:rsidRDefault="00BD4D02" w:rsidP="00BD4D02">
            <w:pPr>
              <w:rPr>
                <w:sz w:val="20"/>
                <w:szCs w:val="20"/>
              </w:rPr>
            </w:pPr>
          </w:p>
        </w:tc>
        <w:tc>
          <w:tcPr>
            <w:tcW w:w="663" w:type="dxa"/>
            <w:shd w:val="clear" w:color="auto" w:fill="auto"/>
            <w:noWrap/>
            <w:vAlign w:val="bottom"/>
            <w:hideMark/>
          </w:tcPr>
          <w:p w14:paraId="1BDA01E3" w14:textId="77777777" w:rsidR="00BD4D02" w:rsidRPr="00BD4D02" w:rsidRDefault="00BD4D02" w:rsidP="00BD4D02">
            <w:pPr>
              <w:rPr>
                <w:sz w:val="20"/>
                <w:szCs w:val="20"/>
              </w:rPr>
            </w:pPr>
          </w:p>
        </w:tc>
        <w:tc>
          <w:tcPr>
            <w:tcW w:w="663" w:type="dxa"/>
            <w:shd w:val="clear" w:color="auto" w:fill="auto"/>
            <w:noWrap/>
            <w:vAlign w:val="bottom"/>
            <w:hideMark/>
          </w:tcPr>
          <w:p w14:paraId="158733DA" w14:textId="77777777" w:rsidR="00BD4D02" w:rsidRPr="00BD4D02" w:rsidRDefault="00BD4D02" w:rsidP="00BD4D02">
            <w:pPr>
              <w:rPr>
                <w:sz w:val="20"/>
                <w:szCs w:val="20"/>
              </w:rPr>
            </w:pPr>
          </w:p>
        </w:tc>
        <w:tc>
          <w:tcPr>
            <w:tcW w:w="663" w:type="dxa"/>
            <w:shd w:val="clear" w:color="auto" w:fill="auto"/>
            <w:noWrap/>
            <w:vAlign w:val="bottom"/>
            <w:hideMark/>
          </w:tcPr>
          <w:p w14:paraId="7EDCEDDF" w14:textId="77777777" w:rsidR="00BD4D02" w:rsidRPr="00BD4D02" w:rsidRDefault="00BD4D02" w:rsidP="00BD4D02">
            <w:pPr>
              <w:rPr>
                <w:sz w:val="20"/>
                <w:szCs w:val="20"/>
              </w:rPr>
            </w:pPr>
          </w:p>
        </w:tc>
        <w:tc>
          <w:tcPr>
            <w:tcW w:w="663" w:type="dxa"/>
            <w:shd w:val="clear" w:color="auto" w:fill="auto"/>
            <w:noWrap/>
            <w:vAlign w:val="bottom"/>
            <w:hideMark/>
          </w:tcPr>
          <w:p w14:paraId="7C9E8AFE" w14:textId="77777777" w:rsidR="00BD4D02" w:rsidRPr="00BD4D02" w:rsidRDefault="00BD4D02" w:rsidP="00BD4D02">
            <w:pPr>
              <w:rPr>
                <w:sz w:val="20"/>
                <w:szCs w:val="20"/>
              </w:rPr>
            </w:pPr>
          </w:p>
        </w:tc>
        <w:tc>
          <w:tcPr>
            <w:tcW w:w="663" w:type="dxa"/>
            <w:shd w:val="clear" w:color="auto" w:fill="auto"/>
            <w:noWrap/>
            <w:vAlign w:val="bottom"/>
            <w:hideMark/>
          </w:tcPr>
          <w:p w14:paraId="694727FC" w14:textId="77777777" w:rsidR="00BD4D02" w:rsidRPr="00BD4D02" w:rsidRDefault="00BD4D02" w:rsidP="00BD4D02">
            <w:pPr>
              <w:rPr>
                <w:sz w:val="20"/>
                <w:szCs w:val="20"/>
              </w:rPr>
            </w:pPr>
          </w:p>
        </w:tc>
        <w:tc>
          <w:tcPr>
            <w:tcW w:w="663" w:type="dxa"/>
            <w:shd w:val="clear" w:color="auto" w:fill="auto"/>
            <w:noWrap/>
            <w:vAlign w:val="bottom"/>
            <w:hideMark/>
          </w:tcPr>
          <w:p w14:paraId="69D5D62C" w14:textId="77777777" w:rsidR="00BD4D02" w:rsidRPr="00BD4D02" w:rsidRDefault="00BD4D02" w:rsidP="00BD4D02">
            <w:pPr>
              <w:rPr>
                <w:sz w:val="20"/>
                <w:szCs w:val="20"/>
              </w:rPr>
            </w:pPr>
          </w:p>
        </w:tc>
        <w:tc>
          <w:tcPr>
            <w:tcW w:w="663" w:type="dxa"/>
            <w:shd w:val="clear" w:color="auto" w:fill="auto"/>
            <w:noWrap/>
            <w:vAlign w:val="bottom"/>
            <w:hideMark/>
          </w:tcPr>
          <w:p w14:paraId="4B8637D7" w14:textId="77777777" w:rsidR="00BD4D02" w:rsidRPr="00BD4D02" w:rsidRDefault="00BD4D02" w:rsidP="00BD4D02">
            <w:pPr>
              <w:rPr>
                <w:sz w:val="20"/>
                <w:szCs w:val="20"/>
              </w:rPr>
            </w:pPr>
          </w:p>
        </w:tc>
        <w:tc>
          <w:tcPr>
            <w:tcW w:w="663" w:type="dxa"/>
            <w:shd w:val="clear" w:color="auto" w:fill="auto"/>
            <w:noWrap/>
            <w:vAlign w:val="bottom"/>
            <w:hideMark/>
          </w:tcPr>
          <w:p w14:paraId="7719157C" w14:textId="77777777" w:rsidR="00BD4D02" w:rsidRPr="00BD4D02" w:rsidRDefault="00BD4D02" w:rsidP="00BD4D02">
            <w:pPr>
              <w:rPr>
                <w:sz w:val="20"/>
                <w:szCs w:val="20"/>
              </w:rPr>
            </w:pPr>
          </w:p>
        </w:tc>
        <w:tc>
          <w:tcPr>
            <w:tcW w:w="663" w:type="dxa"/>
            <w:shd w:val="clear" w:color="auto" w:fill="auto"/>
            <w:noWrap/>
            <w:vAlign w:val="bottom"/>
            <w:hideMark/>
          </w:tcPr>
          <w:p w14:paraId="185A22D8"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54F7886B"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1180" w:type="dxa"/>
            <w:shd w:val="clear" w:color="auto" w:fill="auto"/>
            <w:noWrap/>
            <w:vAlign w:val="bottom"/>
            <w:hideMark/>
          </w:tcPr>
          <w:p w14:paraId="37394371"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r>
      <w:tr w:rsidR="00BD4D02" w:rsidRPr="00BD4D02" w14:paraId="2C7D48C8" w14:textId="77777777" w:rsidTr="00050580">
        <w:trPr>
          <w:trHeight w:val="144"/>
        </w:trPr>
        <w:tc>
          <w:tcPr>
            <w:tcW w:w="4500" w:type="dxa"/>
            <w:shd w:val="clear" w:color="auto" w:fill="auto"/>
            <w:noWrap/>
            <w:vAlign w:val="bottom"/>
            <w:hideMark/>
          </w:tcPr>
          <w:p w14:paraId="01147462"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Gaming consoles</w:t>
            </w:r>
          </w:p>
        </w:tc>
        <w:tc>
          <w:tcPr>
            <w:tcW w:w="770" w:type="dxa"/>
            <w:shd w:val="clear" w:color="auto" w:fill="auto"/>
            <w:noWrap/>
            <w:vAlign w:val="bottom"/>
            <w:hideMark/>
          </w:tcPr>
          <w:p w14:paraId="08C17D7D"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c>
          <w:tcPr>
            <w:tcW w:w="663" w:type="dxa"/>
            <w:shd w:val="clear" w:color="auto" w:fill="auto"/>
            <w:noWrap/>
            <w:vAlign w:val="bottom"/>
            <w:hideMark/>
          </w:tcPr>
          <w:p w14:paraId="01F7EC7F" w14:textId="77777777" w:rsidR="00BD4D02" w:rsidRPr="00BD4D02" w:rsidRDefault="00BD4D02" w:rsidP="00BD4D02">
            <w:pPr>
              <w:jc w:val="right"/>
              <w:rPr>
                <w:rFonts w:ascii="Calibri" w:hAnsi="Calibri" w:cs="Calibri"/>
                <w:color w:val="000000"/>
                <w:sz w:val="20"/>
                <w:szCs w:val="20"/>
              </w:rPr>
            </w:pPr>
          </w:p>
        </w:tc>
        <w:tc>
          <w:tcPr>
            <w:tcW w:w="663" w:type="dxa"/>
            <w:shd w:val="clear" w:color="auto" w:fill="auto"/>
            <w:noWrap/>
            <w:vAlign w:val="bottom"/>
            <w:hideMark/>
          </w:tcPr>
          <w:p w14:paraId="1F387913" w14:textId="77777777" w:rsidR="00BD4D02" w:rsidRPr="00BD4D02" w:rsidRDefault="00BD4D02" w:rsidP="00BD4D02">
            <w:pPr>
              <w:rPr>
                <w:sz w:val="20"/>
                <w:szCs w:val="20"/>
              </w:rPr>
            </w:pPr>
          </w:p>
        </w:tc>
        <w:tc>
          <w:tcPr>
            <w:tcW w:w="663" w:type="dxa"/>
            <w:shd w:val="clear" w:color="auto" w:fill="auto"/>
            <w:noWrap/>
            <w:vAlign w:val="bottom"/>
            <w:hideMark/>
          </w:tcPr>
          <w:p w14:paraId="5489A130" w14:textId="77777777" w:rsidR="00BD4D02" w:rsidRPr="00BD4D02" w:rsidRDefault="00BD4D02" w:rsidP="00BD4D02">
            <w:pPr>
              <w:rPr>
                <w:sz w:val="20"/>
                <w:szCs w:val="20"/>
              </w:rPr>
            </w:pPr>
          </w:p>
        </w:tc>
        <w:tc>
          <w:tcPr>
            <w:tcW w:w="663" w:type="dxa"/>
            <w:shd w:val="clear" w:color="auto" w:fill="auto"/>
            <w:noWrap/>
            <w:vAlign w:val="bottom"/>
            <w:hideMark/>
          </w:tcPr>
          <w:p w14:paraId="3EF98804" w14:textId="77777777" w:rsidR="00BD4D02" w:rsidRPr="00BD4D02" w:rsidRDefault="00BD4D02" w:rsidP="00BD4D02">
            <w:pPr>
              <w:rPr>
                <w:sz w:val="20"/>
                <w:szCs w:val="20"/>
              </w:rPr>
            </w:pPr>
          </w:p>
        </w:tc>
        <w:tc>
          <w:tcPr>
            <w:tcW w:w="663" w:type="dxa"/>
            <w:shd w:val="clear" w:color="auto" w:fill="auto"/>
            <w:noWrap/>
            <w:vAlign w:val="bottom"/>
            <w:hideMark/>
          </w:tcPr>
          <w:p w14:paraId="05E3CDE2" w14:textId="77777777" w:rsidR="00BD4D02" w:rsidRPr="00BD4D02" w:rsidRDefault="00BD4D02" w:rsidP="00BD4D02">
            <w:pPr>
              <w:rPr>
                <w:sz w:val="20"/>
                <w:szCs w:val="20"/>
              </w:rPr>
            </w:pPr>
          </w:p>
        </w:tc>
        <w:tc>
          <w:tcPr>
            <w:tcW w:w="663" w:type="dxa"/>
            <w:shd w:val="clear" w:color="auto" w:fill="auto"/>
            <w:noWrap/>
            <w:vAlign w:val="bottom"/>
            <w:hideMark/>
          </w:tcPr>
          <w:p w14:paraId="0F5E1512" w14:textId="77777777" w:rsidR="00BD4D02" w:rsidRPr="00BD4D02" w:rsidRDefault="00BD4D02" w:rsidP="00BD4D02">
            <w:pPr>
              <w:rPr>
                <w:sz w:val="20"/>
                <w:szCs w:val="20"/>
              </w:rPr>
            </w:pPr>
          </w:p>
        </w:tc>
        <w:tc>
          <w:tcPr>
            <w:tcW w:w="663" w:type="dxa"/>
            <w:shd w:val="clear" w:color="auto" w:fill="auto"/>
            <w:noWrap/>
            <w:vAlign w:val="bottom"/>
            <w:hideMark/>
          </w:tcPr>
          <w:p w14:paraId="275B0F55" w14:textId="77777777" w:rsidR="00BD4D02" w:rsidRPr="00BD4D02" w:rsidRDefault="00BD4D02" w:rsidP="00BD4D02">
            <w:pPr>
              <w:rPr>
                <w:sz w:val="20"/>
                <w:szCs w:val="20"/>
              </w:rPr>
            </w:pPr>
          </w:p>
        </w:tc>
        <w:tc>
          <w:tcPr>
            <w:tcW w:w="663" w:type="dxa"/>
            <w:shd w:val="clear" w:color="auto" w:fill="auto"/>
            <w:noWrap/>
            <w:vAlign w:val="bottom"/>
            <w:hideMark/>
          </w:tcPr>
          <w:p w14:paraId="6B6807C4" w14:textId="77777777" w:rsidR="00BD4D02" w:rsidRPr="00BD4D02" w:rsidRDefault="00BD4D02" w:rsidP="00BD4D02">
            <w:pPr>
              <w:rPr>
                <w:sz w:val="20"/>
                <w:szCs w:val="20"/>
              </w:rPr>
            </w:pPr>
          </w:p>
        </w:tc>
        <w:tc>
          <w:tcPr>
            <w:tcW w:w="663" w:type="dxa"/>
            <w:shd w:val="clear" w:color="auto" w:fill="auto"/>
            <w:noWrap/>
            <w:vAlign w:val="bottom"/>
            <w:hideMark/>
          </w:tcPr>
          <w:p w14:paraId="10FEECE2" w14:textId="77777777" w:rsidR="00BD4D02" w:rsidRPr="00BD4D02" w:rsidRDefault="00BD4D02" w:rsidP="00BD4D02">
            <w:pPr>
              <w:rPr>
                <w:sz w:val="20"/>
                <w:szCs w:val="20"/>
              </w:rPr>
            </w:pPr>
          </w:p>
        </w:tc>
        <w:tc>
          <w:tcPr>
            <w:tcW w:w="663" w:type="dxa"/>
            <w:shd w:val="clear" w:color="auto" w:fill="auto"/>
            <w:noWrap/>
            <w:vAlign w:val="bottom"/>
            <w:hideMark/>
          </w:tcPr>
          <w:p w14:paraId="1ED24530" w14:textId="77777777" w:rsidR="00BD4D02" w:rsidRPr="00BD4D02" w:rsidRDefault="00BD4D02" w:rsidP="00BD4D02">
            <w:pPr>
              <w:rPr>
                <w:sz w:val="20"/>
                <w:szCs w:val="20"/>
              </w:rPr>
            </w:pPr>
          </w:p>
        </w:tc>
        <w:tc>
          <w:tcPr>
            <w:tcW w:w="663" w:type="dxa"/>
            <w:shd w:val="clear" w:color="auto" w:fill="auto"/>
            <w:noWrap/>
            <w:vAlign w:val="bottom"/>
            <w:hideMark/>
          </w:tcPr>
          <w:p w14:paraId="03B506ED" w14:textId="77777777" w:rsidR="00BD4D02" w:rsidRPr="00BD4D02" w:rsidRDefault="00BD4D02" w:rsidP="00BD4D02">
            <w:pPr>
              <w:rPr>
                <w:sz w:val="20"/>
                <w:szCs w:val="20"/>
              </w:rPr>
            </w:pPr>
          </w:p>
        </w:tc>
        <w:tc>
          <w:tcPr>
            <w:tcW w:w="1180" w:type="dxa"/>
            <w:shd w:val="clear" w:color="auto" w:fill="auto"/>
            <w:noWrap/>
            <w:vAlign w:val="bottom"/>
            <w:hideMark/>
          </w:tcPr>
          <w:p w14:paraId="52D76652"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1</w:t>
            </w:r>
          </w:p>
        </w:tc>
      </w:tr>
      <w:tr w:rsidR="00BD4D02" w:rsidRPr="00BD4D02" w14:paraId="656DC73F" w14:textId="77777777" w:rsidTr="00050580">
        <w:trPr>
          <w:trHeight w:val="144"/>
        </w:trPr>
        <w:tc>
          <w:tcPr>
            <w:tcW w:w="4500" w:type="dxa"/>
            <w:shd w:val="clear" w:color="auto" w:fill="auto"/>
            <w:noWrap/>
            <w:vAlign w:val="bottom"/>
            <w:hideMark/>
          </w:tcPr>
          <w:p w14:paraId="5D5DF732"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Subscribers/</w:t>
            </w:r>
            <w:proofErr w:type="spellStart"/>
            <w:r w:rsidRPr="00BD4D02">
              <w:rPr>
                <w:rFonts w:ascii="Calibri" w:hAnsi="Calibri" w:cs="Calibri"/>
                <w:color w:val="000000"/>
                <w:sz w:val="20"/>
                <w:szCs w:val="20"/>
              </w:rPr>
              <w:t>subsciptions</w:t>
            </w:r>
            <w:proofErr w:type="spellEnd"/>
          </w:p>
        </w:tc>
        <w:tc>
          <w:tcPr>
            <w:tcW w:w="770" w:type="dxa"/>
            <w:shd w:val="clear" w:color="auto" w:fill="auto"/>
            <w:noWrap/>
            <w:vAlign w:val="bottom"/>
            <w:hideMark/>
          </w:tcPr>
          <w:p w14:paraId="78E1317F"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7234CA66" w14:textId="77777777" w:rsidR="00BD4D02" w:rsidRPr="00BD4D02" w:rsidRDefault="00BD4D02" w:rsidP="00BD4D02">
            <w:pPr>
              <w:rPr>
                <w:sz w:val="20"/>
                <w:szCs w:val="20"/>
              </w:rPr>
            </w:pPr>
          </w:p>
        </w:tc>
        <w:tc>
          <w:tcPr>
            <w:tcW w:w="663" w:type="dxa"/>
            <w:shd w:val="clear" w:color="auto" w:fill="auto"/>
            <w:noWrap/>
            <w:vAlign w:val="bottom"/>
            <w:hideMark/>
          </w:tcPr>
          <w:p w14:paraId="6E458F3B" w14:textId="77777777" w:rsidR="00BD4D02" w:rsidRPr="00BD4D02" w:rsidRDefault="00BD4D02" w:rsidP="00BD4D02">
            <w:pPr>
              <w:rPr>
                <w:sz w:val="20"/>
                <w:szCs w:val="20"/>
              </w:rPr>
            </w:pPr>
          </w:p>
        </w:tc>
        <w:tc>
          <w:tcPr>
            <w:tcW w:w="663" w:type="dxa"/>
            <w:shd w:val="clear" w:color="auto" w:fill="auto"/>
            <w:noWrap/>
            <w:vAlign w:val="bottom"/>
            <w:hideMark/>
          </w:tcPr>
          <w:p w14:paraId="7D94C516" w14:textId="77777777" w:rsidR="00BD4D02" w:rsidRPr="00BD4D02" w:rsidRDefault="00BD4D02" w:rsidP="00BD4D02">
            <w:pPr>
              <w:rPr>
                <w:sz w:val="20"/>
                <w:szCs w:val="20"/>
              </w:rPr>
            </w:pPr>
          </w:p>
        </w:tc>
        <w:tc>
          <w:tcPr>
            <w:tcW w:w="663" w:type="dxa"/>
            <w:shd w:val="clear" w:color="auto" w:fill="auto"/>
            <w:noWrap/>
            <w:vAlign w:val="bottom"/>
            <w:hideMark/>
          </w:tcPr>
          <w:p w14:paraId="4F59EA88" w14:textId="77777777" w:rsidR="00BD4D02" w:rsidRPr="00BD4D02" w:rsidRDefault="00BD4D02" w:rsidP="00BD4D02">
            <w:pPr>
              <w:rPr>
                <w:sz w:val="20"/>
                <w:szCs w:val="20"/>
              </w:rPr>
            </w:pPr>
          </w:p>
        </w:tc>
        <w:tc>
          <w:tcPr>
            <w:tcW w:w="663" w:type="dxa"/>
            <w:shd w:val="clear" w:color="auto" w:fill="auto"/>
            <w:noWrap/>
            <w:vAlign w:val="bottom"/>
            <w:hideMark/>
          </w:tcPr>
          <w:p w14:paraId="478741E4" w14:textId="77777777" w:rsidR="00BD4D02" w:rsidRPr="00BD4D02" w:rsidRDefault="00BD4D02" w:rsidP="00BD4D02">
            <w:pPr>
              <w:rPr>
                <w:sz w:val="20"/>
                <w:szCs w:val="20"/>
              </w:rPr>
            </w:pPr>
          </w:p>
        </w:tc>
        <w:tc>
          <w:tcPr>
            <w:tcW w:w="663" w:type="dxa"/>
            <w:shd w:val="clear" w:color="auto" w:fill="auto"/>
            <w:noWrap/>
            <w:vAlign w:val="bottom"/>
            <w:hideMark/>
          </w:tcPr>
          <w:p w14:paraId="2AF7A38B" w14:textId="77777777" w:rsidR="00BD4D02" w:rsidRPr="00BD4D02" w:rsidRDefault="00BD4D02" w:rsidP="00BD4D02">
            <w:pPr>
              <w:rPr>
                <w:sz w:val="20"/>
                <w:szCs w:val="20"/>
              </w:rPr>
            </w:pPr>
          </w:p>
        </w:tc>
        <w:tc>
          <w:tcPr>
            <w:tcW w:w="663" w:type="dxa"/>
            <w:shd w:val="clear" w:color="auto" w:fill="auto"/>
            <w:noWrap/>
            <w:vAlign w:val="bottom"/>
            <w:hideMark/>
          </w:tcPr>
          <w:p w14:paraId="7949CB8E" w14:textId="77777777" w:rsidR="00BD4D02" w:rsidRPr="00BD4D02" w:rsidRDefault="00BD4D02" w:rsidP="00BD4D02">
            <w:pPr>
              <w:rPr>
                <w:sz w:val="20"/>
                <w:szCs w:val="20"/>
              </w:rPr>
            </w:pPr>
          </w:p>
        </w:tc>
        <w:tc>
          <w:tcPr>
            <w:tcW w:w="663" w:type="dxa"/>
            <w:shd w:val="clear" w:color="auto" w:fill="auto"/>
            <w:noWrap/>
            <w:vAlign w:val="bottom"/>
            <w:hideMark/>
          </w:tcPr>
          <w:p w14:paraId="1F131268" w14:textId="77777777" w:rsidR="00BD4D02" w:rsidRPr="00BD4D02" w:rsidRDefault="00BD4D02" w:rsidP="00BD4D02">
            <w:pPr>
              <w:rPr>
                <w:sz w:val="20"/>
                <w:szCs w:val="20"/>
              </w:rPr>
            </w:pPr>
          </w:p>
        </w:tc>
        <w:tc>
          <w:tcPr>
            <w:tcW w:w="663" w:type="dxa"/>
            <w:shd w:val="clear" w:color="auto" w:fill="auto"/>
            <w:noWrap/>
            <w:vAlign w:val="bottom"/>
            <w:hideMark/>
          </w:tcPr>
          <w:p w14:paraId="39B5D129" w14:textId="77777777" w:rsidR="00BD4D02" w:rsidRPr="00BD4D02" w:rsidRDefault="00BD4D02" w:rsidP="00BD4D02">
            <w:pPr>
              <w:rPr>
                <w:sz w:val="20"/>
                <w:szCs w:val="20"/>
              </w:rPr>
            </w:pPr>
          </w:p>
        </w:tc>
        <w:tc>
          <w:tcPr>
            <w:tcW w:w="663" w:type="dxa"/>
            <w:shd w:val="clear" w:color="auto" w:fill="auto"/>
            <w:noWrap/>
            <w:vAlign w:val="bottom"/>
            <w:hideMark/>
          </w:tcPr>
          <w:p w14:paraId="0F25E046"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663" w:type="dxa"/>
            <w:shd w:val="clear" w:color="auto" w:fill="auto"/>
            <w:noWrap/>
            <w:vAlign w:val="bottom"/>
            <w:hideMark/>
          </w:tcPr>
          <w:p w14:paraId="3B1990C2"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2</w:t>
            </w:r>
          </w:p>
        </w:tc>
        <w:tc>
          <w:tcPr>
            <w:tcW w:w="1180" w:type="dxa"/>
            <w:shd w:val="clear" w:color="auto" w:fill="auto"/>
            <w:noWrap/>
            <w:vAlign w:val="bottom"/>
            <w:hideMark/>
          </w:tcPr>
          <w:p w14:paraId="5ED32636"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4</w:t>
            </w:r>
          </w:p>
        </w:tc>
      </w:tr>
      <w:tr w:rsidR="00BD4D02" w:rsidRPr="00BD4D02" w14:paraId="202BF66F" w14:textId="77777777" w:rsidTr="00050580">
        <w:trPr>
          <w:trHeight w:val="144"/>
        </w:trPr>
        <w:tc>
          <w:tcPr>
            <w:tcW w:w="4500" w:type="dxa"/>
            <w:shd w:val="clear" w:color="auto" w:fill="auto"/>
            <w:noWrap/>
            <w:vAlign w:val="bottom"/>
            <w:hideMark/>
          </w:tcPr>
          <w:p w14:paraId="3F81AFBA" w14:textId="77777777" w:rsidR="00BD4D02" w:rsidRPr="00BD4D02" w:rsidRDefault="00BD4D02" w:rsidP="00BD4D02">
            <w:pPr>
              <w:ind w:firstLineChars="100" w:firstLine="201"/>
              <w:rPr>
                <w:rFonts w:ascii="Calibri" w:hAnsi="Calibri" w:cs="Calibri"/>
                <w:b/>
                <w:bCs/>
                <w:color w:val="000000"/>
                <w:sz w:val="20"/>
                <w:szCs w:val="20"/>
              </w:rPr>
            </w:pPr>
            <w:r w:rsidRPr="00BD4D02">
              <w:rPr>
                <w:rFonts w:ascii="Calibri" w:hAnsi="Calibri" w:cs="Calibri"/>
                <w:b/>
                <w:bCs/>
                <w:color w:val="000000"/>
                <w:sz w:val="20"/>
                <w:szCs w:val="20"/>
              </w:rPr>
              <w:lastRenderedPageBreak/>
              <w:t>Unknown (infographics - no description)</w:t>
            </w:r>
          </w:p>
        </w:tc>
        <w:tc>
          <w:tcPr>
            <w:tcW w:w="770" w:type="dxa"/>
            <w:shd w:val="clear" w:color="auto" w:fill="auto"/>
            <w:noWrap/>
            <w:vAlign w:val="bottom"/>
            <w:hideMark/>
          </w:tcPr>
          <w:p w14:paraId="6D3F455D" w14:textId="77777777" w:rsidR="00BD4D02" w:rsidRPr="00BD4D02" w:rsidRDefault="00BD4D02" w:rsidP="00BD4D02">
            <w:pPr>
              <w:ind w:firstLineChars="100" w:firstLine="201"/>
              <w:rPr>
                <w:rFonts w:ascii="Calibri" w:hAnsi="Calibri" w:cs="Calibri"/>
                <w:b/>
                <w:bCs/>
                <w:color w:val="000000"/>
                <w:sz w:val="20"/>
                <w:szCs w:val="20"/>
              </w:rPr>
            </w:pPr>
          </w:p>
        </w:tc>
        <w:tc>
          <w:tcPr>
            <w:tcW w:w="663" w:type="dxa"/>
            <w:shd w:val="clear" w:color="auto" w:fill="auto"/>
            <w:noWrap/>
            <w:vAlign w:val="bottom"/>
            <w:hideMark/>
          </w:tcPr>
          <w:p w14:paraId="2F54F5F9" w14:textId="77777777" w:rsidR="00BD4D02" w:rsidRPr="00BD4D02" w:rsidRDefault="00BD4D02" w:rsidP="00BD4D02">
            <w:pPr>
              <w:rPr>
                <w:sz w:val="20"/>
                <w:szCs w:val="20"/>
              </w:rPr>
            </w:pPr>
          </w:p>
        </w:tc>
        <w:tc>
          <w:tcPr>
            <w:tcW w:w="663" w:type="dxa"/>
            <w:shd w:val="clear" w:color="auto" w:fill="auto"/>
            <w:noWrap/>
            <w:vAlign w:val="bottom"/>
            <w:hideMark/>
          </w:tcPr>
          <w:p w14:paraId="696D2E97" w14:textId="77777777" w:rsidR="00BD4D02" w:rsidRPr="00BD4D02" w:rsidRDefault="00BD4D02" w:rsidP="00BD4D02">
            <w:pPr>
              <w:rPr>
                <w:sz w:val="20"/>
                <w:szCs w:val="20"/>
              </w:rPr>
            </w:pPr>
          </w:p>
        </w:tc>
        <w:tc>
          <w:tcPr>
            <w:tcW w:w="663" w:type="dxa"/>
            <w:shd w:val="clear" w:color="auto" w:fill="auto"/>
            <w:noWrap/>
            <w:vAlign w:val="bottom"/>
            <w:hideMark/>
          </w:tcPr>
          <w:p w14:paraId="1CA14E98" w14:textId="77777777" w:rsidR="00BD4D02" w:rsidRPr="00BD4D02" w:rsidRDefault="00BD4D02" w:rsidP="00BD4D02">
            <w:pPr>
              <w:rPr>
                <w:sz w:val="20"/>
                <w:szCs w:val="20"/>
              </w:rPr>
            </w:pPr>
          </w:p>
        </w:tc>
        <w:tc>
          <w:tcPr>
            <w:tcW w:w="663" w:type="dxa"/>
            <w:shd w:val="clear" w:color="auto" w:fill="auto"/>
            <w:noWrap/>
            <w:vAlign w:val="bottom"/>
            <w:hideMark/>
          </w:tcPr>
          <w:p w14:paraId="7350DABB" w14:textId="77777777" w:rsidR="00BD4D02" w:rsidRPr="00BD4D02" w:rsidRDefault="00BD4D02" w:rsidP="00BD4D02">
            <w:pPr>
              <w:rPr>
                <w:sz w:val="20"/>
                <w:szCs w:val="20"/>
              </w:rPr>
            </w:pPr>
          </w:p>
        </w:tc>
        <w:tc>
          <w:tcPr>
            <w:tcW w:w="663" w:type="dxa"/>
            <w:shd w:val="clear" w:color="auto" w:fill="auto"/>
            <w:noWrap/>
            <w:vAlign w:val="bottom"/>
            <w:hideMark/>
          </w:tcPr>
          <w:p w14:paraId="7FE43D01" w14:textId="77777777" w:rsidR="00BD4D02" w:rsidRPr="00BD4D02" w:rsidRDefault="00BD4D02" w:rsidP="00BD4D02">
            <w:pPr>
              <w:rPr>
                <w:sz w:val="20"/>
                <w:szCs w:val="20"/>
              </w:rPr>
            </w:pPr>
          </w:p>
        </w:tc>
        <w:tc>
          <w:tcPr>
            <w:tcW w:w="663" w:type="dxa"/>
            <w:shd w:val="clear" w:color="auto" w:fill="auto"/>
            <w:noWrap/>
            <w:vAlign w:val="bottom"/>
            <w:hideMark/>
          </w:tcPr>
          <w:p w14:paraId="72053FFA" w14:textId="77777777" w:rsidR="00BD4D02" w:rsidRPr="00BD4D02" w:rsidRDefault="00BD4D02" w:rsidP="00BD4D02">
            <w:pPr>
              <w:rPr>
                <w:sz w:val="20"/>
                <w:szCs w:val="20"/>
              </w:rPr>
            </w:pPr>
          </w:p>
        </w:tc>
        <w:tc>
          <w:tcPr>
            <w:tcW w:w="663" w:type="dxa"/>
            <w:shd w:val="clear" w:color="auto" w:fill="auto"/>
            <w:noWrap/>
            <w:vAlign w:val="bottom"/>
            <w:hideMark/>
          </w:tcPr>
          <w:p w14:paraId="4E745A52" w14:textId="77777777" w:rsidR="00BD4D02" w:rsidRPr="00BD4D02" w:rsidRDefault="00BD4D02" w:rsidP="00BD4D02">
            <w:pPr>
              <w:rPr>
                <w:sz w:val="20"/>
                <w:szCs w:val="20"/>
              </w:rPr>
            </w:pPr>
          </w:p>
        </w:tc>
        <w:tc>
          <w:tcPr>
            <w:tcW w:w="663" w:type="dxa"/>
            <w:shd w:val="clear" w:color="auto" w:fill="auto"/>
            <w:noWrap/>
            <w:vAlign w:val="bottom"/>
            <w:hideMark/>
          </w:tcPr>
          <w:p w14:paraId="60B9E968" w14:textId="77777777" w:rsidR="00BD4D02" w:rsidRPr="00BD4D02" w:rsidRDefault="00BD4D02" w:rsidP="00BD4D02">
            <w:pPr>
              <w:rPr>
                <w:sz w:val="20"/>
                <w:szCs w:val="20"/>
              </w:rPr>
            </w:pPr>
          </w:p>
        </w:tc>
        <w:tc>
          <w:tcPr>
            <w:tcW w:w="663" w:type="dxa"/>
            <w:shd w:val="clear" w:color="auto" w:fill="auto"/>
            <w:noWrap/>
            <w:vAlign w:val="bottom"/>
            <w:hideMark/>
          </w:tcPr>
          <w:p w14:paraId="573C3104" w14:textId="77777777" w:rsidR="00BD4D02" w:rsidRPr="00BD4D02" w:rsidRDefault="00BD4D02" w:rsidP="00BD4D02">
            <w:pPr>
              <w:rPr>
                <w:sz w:val="20"/>
                <w:szCs w:val="20"/>
              </w:rPr>
            </w:pPr>
          </w:p>
        </w:tc>
        <w:tc>
          <w:tcPr>
            <w:tcW w:w="663" w:type="dxa"/>
            <w:shd w:val="clear" w:color="auto" w:fill="auto"/>
            <w:noWrap/>
            <w:vAlign w:val="bottom"/>
            <w:hideMark/>
          </w:tcPr>
          <w:p w14:paraId="3B31586B"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9</w:t>
            </w:r>
          </w:p>
        </w:tc>
        <w:tc>
          <w:tcPr>
            <w:tcW w:w="663" w:type="dxa"/>
            <w:shd w:val="clear" w:color="auto" w:fill="auto"/>
            <w:noWrap/>
            <w:vAlign w:val="bottom"/>
            <w:hideMark/>
          </w:tcPr>
          <w:p w14:paraId="6F19E546" w14:textId="77777777" w:rsidR="00BD4D02" w:rsidRPr="00BD4D02" w:rsidRDefault="00BD4D02" w:rsidP="00BD4D02">
            <w:pPr>
              <w:jc w:val="right"/>
              <w:rPr>
                <w:rFonts w:ascii="Calibri" w:hAnsi="Calibri" w:cs="Calibri"/>
                <w:b/>
                <w:bCs/>
                <w:color w:val="000000"/>
                <w:sz w:val="20"/>
                <w:szCs w:val="20"/>
              </w:rPr>
            </w:pPr>
          </w:p>
        </w:tc>
        <w:tc>
          <w:tcPr>
            <w:tcW w:w="1180" w:type="dxa"/>
            <w:shd w:val="clear" w:color="auto" w:fill="auto"/>
            <w:noWrap/>
            <w:vAlign w:val="bottom"/>
            <w:hideMark/>
          </w:tcPr>
          <w:p w14:paraId="4F7D978E"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9</w:t>
            </w:r>
          </w:p>
        </w:tc>
      </w:tr>
      <w:tr w:rsidR="00BD4D02" w:rsidRPr="00BD4D02" w14:paraId="10E6EA4B" w14:textId="77777777" w:rsidTr="00050580">
        <w:trPr>
          <w:trHeight w:val="144"/>
        </w:trPr>
        <w:tc>
          <w:tcPr>
            <w:tcW w:w="4500" w:type="dxa"/>
            <w:shd w:val="clear" w:color="auto" w:fill="auto"/>
            <w:noWrap/>
            <w:vAlign w:val="bottom"/>
            <w:hideMark/>
          </w:tcPr>
          <w:p w14:paraId="5199BD9D" w14:textId="77777777" w:rsidR="00BD4D02" w:rsidRPr="00BD4D02" w:rsidRDefault="00BD4D02" w:rsidP="00BD4D02">
            <w:pPr>
              <w:ind w:firstLineChars="200" w:firstLine="400"/>
              <w:rPr>
                <w:rFonts w:ascii="Calibri" w:hAnsi="Calibri" w:cs="Calibri"/>
                <w:color w:val="000000"/>
                <w:sz w:val="20"/>
                <w:szCs w:val="20"/>
              </w:rPr>
            </w:pPr>
            <w:r w:rsidRPr="00BD4D02">
              <w:rPr>
                <w:rFonts w:ascii="Calibri" w:hAnsi="Calibri" w:cs="Calibri"/>
                <w:color w:val="000000"/>
                <w:sz w:val="20"/>
                <w:szCs w:val="20"/>
              </w:rPr>
              <w:t>Infographic - unlabelled</w:t>
            </w:r>
          </w:p>
        </w:tc>
        <w:tc>
          <w:tcPr>
            <w:tcW w:w="770" w:type="dxa"/>
            <w:shd w:val="clear" w:color="auto" w:fill="auto"/>
            <w:noWrap/>
            <w:vAlign w:val="bottom"/>
            <w:hideMark/>
          </w:tcPr>
          <w:p w14:paraId="120C2035" w14:textId="77777777" w:rsidR="00BD4D02" w:rsidRPr="00BD4D02" w:rsidRDefault="00BD4D02" w:rsidP="00BD4D02">
            <w:pPr>
              <w:ind w:firstLineChars="200" w:firstLine="400"/>
              <w:rPr>
                <w:rFonts w:ascii="Calibri" w:hAnsi="Calibri" w:cs="Calibri"/>
                <w:color w:val="000000"/>
                <w:sz w:val="20"/>
                <w:szCs w:val="20"/>
              </w:rPr>
            </w:pPr>
          </w:p>
        </w:tc>
        <w:tc>
          <w:tcPr>
            <w:tcW w:w="663" w:type="dxa"/>
            <w:shd w:val="clear" w:color="auto" w:fill="auto"/>
            <w:noWrap/>
            <w:vAlign w:val="bottom"/>
            <w:hideMark/>
          </w:tcPr>
          <w:p w14:paraId="763C4181" w14:textId="77777777" w:rsidR="00BD4D02" w:rsidRPr="00BD4D02" w:rsidRDefault="00BD4D02" w:rsidP="00BD4D02">
            <w:pPr>
              <w:rPr>
                <w:sz w:val="20"/>
                <w:szCs w:val="20"/>
              </w:rPr>
            </w:pPr>
          </w:p>
        </w:tc>
        <w:tc>
          <w:tcPr>
            <w:tcW w:w="663" w:type="dxa"/>
            <w:shd w:val="clear" w:color="auto" w:fill="auto"/>
            <w:noWrap/>
            <w:vAlign w:val="bottom"/>
            <w:hideMark/>
          </w:tcPr>
          <w:p w14:paraId="00A9F12C" w14:textId="77777777" w:rsidR="00BD4D02" w:rsidRPr="00BD4D02" w:rsidRDefault="00BD4D02" w:rsidP="00BD4D02">
            <w:pPr>
              <w:rPr>
                <w:sz w:val="20"/>
                <w:szCs w:val="20"/>
              </w:rPr>
            </w:pPr>
          </w:p>
        </w:tc>
        <w:tc>
          <w:tcPr>
            <w:tcW w:w="663" w:type="dxa"/>
            <w:shd w:val="clear" w:color="auto" w:fill="auto"/>
            <w:noWrap/>
            <w:vAlign w:val="bottom"/>
            <w:hideMark/>
          </w:tcPr>
          <w:p w14:paraId="1295C97A" w14:textId="77777777" w:rsidR="00BD4D02" w:rsidRPr="00BD4D02" w:rsidRDefault="00BD4D02" w:rsidP="00BD4D02">
            <w:pPr>
              <w:rPr>
                <w:sz w:val="20"/>
                <w:szCs w:val="20"/>
              </w:rPr>
            </w:pPr>
          </w:p>
        </w:tc>
        <w:tc>
          <w:tcPr>
            <w:tcW w:w="663" w:type="dxa"/>
            <w:shd w:val="clear" w:color="auto" w:fill="auto"/>
            <w:noWrap/>
            <w:vAlign w:val="bottom"/>
            <w:hideMark/>
          </w:tcPr>
          <w:p w14:paraId="175F1268" w14:textId="77777777" w:rsidR="00BD4D02" w:rsidRPr="00BD4D02" w:rsidRDefault="00BD4D02" w:rsidP="00BD4D02">
            <w:pPr>
              <w:rPr>
                <w:sz w:val="20"/>
                <w:szCs w:val="20"/>
              </w:rPr>
            </w:pPr>
          </w:p>
        </w:tc>
        <w:tc>
          <w:tcPr>
            <w:tcW w:w="663" w:type="dxa"/>
            <w:shd w:val="clear" w:color="auto" w:fill="auto"/>
            <w:noWrap/>
            <w:vAlign w:val="bottom"/>
            <w:hideMark/>
          </w:tcPr>
          <w:p w14:paraId="3551F0E4" w14:textId="77777777" w:rsidR="00BD4D02" w:rsidRPr="00BD4D02" w:rsidRDefault="00BD4D02" w:rsidP="00BD4D02">
            <w:pPr>
              <w:rPr>
                <w:sz w:val="20"/>
                <w:szCs w:val="20"/>
              </w:rPr>
            </w:pPr>
          </w:p>
        </w:tc>
        <w:tc>
          <w:tcPr>
            <w:tcW w:w="663" w:type="dxa"/>
            <w:shd w:val="clear" w:color="auto" w:fill="auto"/>
            <w:noWrap/>
            <w:vAlign w:val="bottom"/>
            <w:hideMark/>
          </w:tcPr>
          <w:p w14:paraId="23933981" w14:textId="77777777" w:rsidR="00BD4D02" w:rsidRPr="00BD4D02" w:rsidRDefault="00BD4D02" w:rsidP="00BD4D02">
            <w:pPr>
              <w:rPr>
                <w:sz w:val="20"/>
                <w:szCs w:val="20"/>
              </w:rPr>
            </w:pPr>
          </w:p>
        </w:tc>
        <w:tc>
          <w:tcPr>
            <w:tcW w:w="663" w:type="dxa"/>
            <w:shd w:val="clear" w:color="auto" w:fill="auto"/>
            <w:noWrap/>
            <w:vAlign w:val="bottom"/>
            <w:hideMark/>
          </w:tcPr>
          <w:p w14:paraId="6211BD73" w14:textId="77777777" w:rsidR="00BD4D02" w:rsidRPr="00BD4D02" w:rsidRDefault="00BD4D02" w:rsidP="00BD4D02">
            <w:pPr>
              <w:rPr>
                <w:sz w:val="20"/>
                <w:szCs w:val="20"/>
              </w:rPr>
            </w:pPr>
          </w:p>
        </w:tc>
        <w:tc>
          <w:tcPr>
            <w:tcW w:w="663" w:type="dxa"/>
            <w:shd w:val="clear" w:color="auto" w:fill="auto"/>
            <w:noWrap/>
            <w:vAlign w:val="bottom"/>
            <w:hideMark/>
          </w:tcPr>
          <w:p w14:paraId="5D9DD415" w14:textId="77777777" w:rsidR="00BD4D02" w:rsidRPr="00BD4D02" w:rsidRDefault="00BD4D02" w:rsidP="00BD4D02">
            <w:pPr>
              <w:rPr>
                <w:sz w:val="20"/>
                <w:szCs w:val="20"/>
              </w:rPr>
            </w:pPr>
          </w:p>
        </w:tc>
        <w:tc>
          <w:tcPr>
            <w:tcW w:w="663" w:type="dxa"/>
            <w:shd w:val="clear" w:color="auto" w:fill="auto"/>
            <w:noWrap/>
            <w:vAlign w:val="bottom"/>
            <w:hideMark/>
          </w:tcPr>
          <w:p w14:paraId="0ADE0FFC" w14:textId="77777777" w:rsidR="00BD4D02" w:rsidRPr="00BD4D02" w:rsidRDefault="00BD4D02" w:rsidP="00BD4D02">
            <w:pPr>
              <w:rPr>
                <w:sz w:val="20"/>
                <w:szCs w:val="20"/>
              </w:rPr>
            </w:pPr>
          </w:p>
        </w:tc>
        <w:tc>
          <w:tcPr>
            <w:tcW w:w="663" w:type="dxa"/>
            <w:shd w:val="clear" w:color="auto" w:fill="auto"/>
            <w:noWrap/>
            <w:vAlign w:val="bottom"/>
            <w:hideMark/>
          </w:tcPr>
          <w:p w14:paraId="0417EEAC"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9</w:t>
            </w:r>
          </w:p>
        </w:tc>
        <w:tc>
          <w:tcPr>
            <w:tcW w:w="663" w:type="dxa"/>
            <w:shd w:val="clear" w:color="auto" w:fill="auto"/>
            <w:noWrap/>
            <w:vAlign w:val="bottom"/>
            <w:hideMark/>
          </w:tcPr>
          <w:p w14:paraId="252BF1D6" w14:textId="77777777" w:rsidR="00BD4D02" w:rsidRPr="00BD4D02" w:rsidRDefault="00BD4D02" w:rsidP="00BD4D02">
            <w:pPr>
              <w:jc w:val="right"/>
              <w:rPr>
                <w:rFonts w:ascii="Calibri" w:hAnsi="Calibri" w:cs="Calibri"/>
                <w:color w:val="000000"/>
                <w:sz w:val="20"/>
                <w:szCs w:val="20"/>
              </w:rPr>
            </w:pPr>
          </w:p>
        </w:tc>
        <w:tc>
          <w:tcPr>
            <w:tcW w:w="1180" w:type="dxa"/>
            <w:shd w:val="clear" w:color="auto" w:fill="auto"/>
            <w:noWrap/>
            <w:vAlign w:val="bottom"/>
            <w:hideMark/>
          </w:tcPr>
          <w:p w14:paraId="21E95ECF" w14:textId="77777777" w:rsidR="00BD4D02" w:rsidRPr="00BD4D02" w:rsidRDefault="00BD4D02" w:rsidP="00BD4D02">
            <w:pPr>
              <w:jc w:val="right"/>
              <w:rPr>
                <w:rFonts w:ascii="Calibri" w:hAnsi="Calibri" w:cs="Calibri"/>
                <w:color w:val="000000"/>
                <w:sz w:val="20"/>
                <w:szCs w:val="20"/>
              </w:rPr>
            </w:pPr>
            <w:r w:rsidRPr="00BD4D02">
              <w:rPr>
                <w:rFonts w:ascii="Calibri" w:hAnsi="Calibri" w:cs="Calibri"/>
                <w:color w:val="000000"/>
                <w:sz w:val="20"/>
                <w:szCs w:val="20"/>
              </w:rPr>
              <w:t>9</w:t>
            </w:r>
          </w:p>
        </w:tc>
      </w:tr>
      <w:tr w:rsidR="00BD4D02" w:rsidRPr="00BD4D02" w14:paraId="6D4B2F65" w14:textId="77777777" w:rsidTr="00050580">
        <w:trPr>
          <w:trHeight w:val="144"/>
        </w:trPr>
        <w:tc>
          <w:tcPr>
            <w:tcW w:w="4500" w:type="dxa"/>
            <w:shd w:val="clear" w:color="D9E1F2" w:fill="D9E1F2"/>
            <w:noWrap/>
            <w:vAlign w:val="bottom"/>
            <w:hideMark/>
          </w:tcPr>
          <w:p w14:paraId="05B6F07A" w14:textId="77777777" w:rsidR="00BD4D02" w:rsidRPr="00BD4D02" w:rsidRDefault="00BD4D02" w:rsidP="00BD4D02">
            <w:pPr>
              <w:rPr>
                <w:rFonts w:ascii="Calibri" w:hAnsi="Calibri" w:cs="Calibri"/>
                <w:b/>
                <w:bCs/>
                <w:color w:val="000000"/>
                <w:sz w:val="20"/>
                <w:szCs w:val="20"/>
              </w:rPr>
            </w:pPr>
            <w:r w:rsidRPr="00BD4D02">
              <w:rPr>
                <w:rFonts w:ascii="Calibri" w:hAnsi="Calibri" w:cs="Calibri"/>
                <w:b/>
                <w:bCs/>
                <w:color w:val="000000"/>
                <w:sz w:val="20"/>
                <w:szCs w:val="20"/>
              </w:rPr>
              <w:t>Grand Total</w:t>
            </w:r>
          </w:p>
        </w:tc>
        <w:tc>
          <w:tcPr>
            <w:tcW w:w="770" w:type="dxa"/>
            <w:shd w:val="clear" w:color="D9E1F2" w:fill="D9E1F2"/>
            <w:noWrap/>
            <w:vAlign w:val="bottom"/>
            <w:hideMark/>
          </w:tcPr>
          <w:p w14:paraId="563438C2"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203</w:t>
            </w:r>
          </w:p>
        </w:tc>
        <w:tc>
          <w:tcPr>
            <w:tcW w:w="663" w:type="dxa"/>
            <w:shd w:val="clear" w:color="D9E1F2" w:fill="D9E1F2"/>
            <w:noWrap/>
            <w:vAlign w:val="bottom"/>
            <w:hideMark/>
          </w:tcPr>
          <w:p w14:paraId="2C724C69"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189</w:t>
            </w:r>
          </w:p>
        </w:tc>
        <w:tc>
          <w:tcPr>
            <w:tcW w:w="663" w:type="dxa"/>
            <w:shd w:val="clear" w:color="D9E1F2" w:fill="D9E1F2"/>
            <w:noWrap/>
            <w:vAlign w:val="bottom"/>
            <w:hideMark/>
          </w:tcPr>
          <w:p w14:paraId="37EA1B22"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214</w:t>
            </w:r>
          </w:p>
        </w:tc>
        <w:tc>
          <w:tcPr>
            <w:tcW w:w="663" w:type="dxa"/>
            <w:shd w:val="clear" w:color="D9E1F2" w:fill="D9E1F2"/>
            <w:noWrap/>
            <w:vAlign w:val="bottom"/>
            <w:hideMark/>
          </w:tcPr>
          <w:p w14:paraId="2B1FA9AA"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238</w:t>
            </w:r>
          </w:p>
        </w:tc>
        <w:tc>
          <w:tcPr>
            <w:tcW w:w="663" w:type="dxa"/>
            <w:shd w:val="clear" w:color="D9E1F2" w:fill="D9E1F2"/>
            <w:noWrap/>
            <w:vAlign w:val="bottom"/>
            <w:hideMark/>
          </w:tcPr>
          <w:p w14:paraId="78BCAF14"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252</w:t>
            </w:r>
          </w:p>
        </w:tc>
        <w:tc>
          <w:tcPr>
            <w:tcW w:w="663" w:type="dxa"/>
            <w:shd w:val="clear" w:color="D9E1F2" w:fill="D9E1F2"/>
            <w:noWrap/>
            <w:vAlign w:val="bottom"/>
            <w:hideMark/>
          </w:tcPr>
          <w:p w14:paraId="799587AD"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258</w:t>
            </w:r>
          </w:p>
        </w:tc>
        <w:tc>
          <w:tcPr>
            <w:tcW w:w="663" w:type="dxa"/>
            <w:shd w:val="clear" w:color="D9E1F2" w:fill="D9E1F2"/>
            <w:noWrap/>
            <w:vAlign w:val="bottom"/>
            <w:hideMark/>
          </w:tcPr>
          <w:p w14:paraId="7882E9F6"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313</w:t>
            </w:r>
          </w:p>
        </w:tc>
        <w:tc>
          <w:tcPr>
            <w:tcW w:w="663" w:type="dxa"/>
            <w:shd w:val="clear" w:color="D9E1F2" w:fill="D9E1F2"/>
            <w:noWrap/>
            <w:vAlign w:val="bottom"/>
            <w:hideMark/>
          </w:tcPr>
          <w:p w14:paraId="515674C8"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313</w:t>
            </w:r>
          </w:p>
        </w:tc>
        <w:tc>
          <w:tcPr>
            <w:tcW w:w="663" w:type="dxa"/>
            <w:shd w:val="clear" w:color="D9E1F2" w:fill="D9E1F2"/>
            <w:noWrap/>
            <w:vAlign w:val="bottom"/>
            <w:hideMark/>
          </w:tcPr>
          <w:p w14:paraId="7CCB0494"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315</w:t>
            </w:r>
          </w:p>
        </w:tc>
        <w:tc>
          <w:tcPr>
            <w:tcW w:w="663" w:type="dxa"/>
            <w:shd w:val="clear" w:color="D9E1F2" w:fill="D9E1F2"/>
            <w:noWrap/>
            <w:vAlign w:val="bottom"/>
            <w:hideMark/>
          </w:tcPr>
          <w:p w14:paraId="137B9F80"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340</w:t>
            </w:r>
          </w:p>
        </w:tc>
        <w:tc>
          <w:tcPr>
            <w:tcW w:w="663" w:type="dxa"/>
            <w:shd w:val="clear" w:color="D9E1F2" w:fill="D9E1F2"/>
            <w:noWrap/>
            <w:vAlign w:val="bottom"/>
            <w:hideMark/>
          </w:tcPr>
          <w:p w14:paraId="08A29D30"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238</w:t>
            </w:r>
          </w:p>
        </w:tc>
        <w:tc>
          <w:tcPr>
            <w:tcW w:w="663" w:type="dxa"/>
            <w:shd w:val="clear" w:color="D9E1F2" w:fill="D9E1F2"/>
            <w:noWrap/>
            <w:vAlign w:val="bottom"/>
            <w:hideMark/>
          </w:tcPr>
          <w:p w14:paraId="6174E9F1"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281</w:t>
            </w:r>
          </w:p>
        </w:tc>
        <w:tc>
          <w:tcPr>
            <w:tcW w:w="1180" w:type="dxa"/>
            <w:shd w:val="clear" w:color="D9E1F2" w:fill="D9E1F2"/>
            <w:noWrap/>
            <w:vAlign w:val="bottom"/>
            <w:hideMark/>
          </w:tcPr>
          <w:p w14:paraId="5D3FA288" w14:textId="77777777" w:rsidR="00BD4D02" w:rsidRPr="00BD4D02" w:rsidRDefault="00BD4D02" w:rsidP="00BD4D02">
            <w:pPr>
              <w:jc w:val="right"/>
              <w:rPr>
                <w:rFonts w:ascii="Calibri" w:hAnsi="Calibri" w:cs="Calibri"/>
                <w:b/>
                <w:bCs/>
                <w:color w:val="000000"/>
                <w:sz w:val="20"/>
                <w:szCs w:val="20"/>
              </w:rPr>
            </w:pPr>
            <w:r w:rsidRPr="00BD4D02">
              <w:rPr>
                <w:rFonts w:ascii="Calibri" w:hAnsi="Calibri" w:cs="Calibri"/>
                <w:b/>
                <w:bCs/>
                <w:color w:val="000000"/>
                <w:sz w:val="20"/>
                <w:szCs w:val="20"/>
              </w:rPr>
              <w:t>3154</w:t>
            </w:r>
          </w:p>
        </w:tc>
      </w:tr>
    </w:tbl>
    <w:p w14:paraId="0459FAF9" w14:textId="77777777" w:rsidR="00294083" w:rsidRDefault="00294083" w:rsidP="008B5690">
      <w:pPr>
        <w:pStyle w:val="FRPCintPara"/>
        <w:numPr>
          <w:ilvl w:val="0"/>
          <w:numId w:val="0"/>
        </w:numPr>
        <w:ind w:left="720" w:hanging="720"/>
        <w:sectPr w:rsidR="00294083" w:rsidSect="00BD4D02">
          <w:pgSz w:w="15840" w:h="12240" w:orient="landscape"/>
          <w:pgMar w:top="1440" w:right="1440" w:bottom="1440" w:left="1440" w:header="708" w:footer="708" w:gutter="0"/>
          <w:cols w:space="708"/>
          <w:docGrid w:linePitch="360"/>
        </w:sectPr>
      </w:pPr>
    </w:p>
    <w:p w14:paraId="140C98BD" w14:textId="424C4E05" w:rsidR="00294083" w:rsidRDefault="00294083" w:rsidP="008B5690">
      <w:pPr>
        <w:pStyle w:val="FRPCintPara"/>
        <w:numPr>
          <w:ilvl w:val="0"/>
          <w:numId w:val="0"/>
        </w:numPr>
        <w:ind w:left="720" w:hanging="720"/>
      </w:pPr>
    </w:p>
    <w:p w14:paraId="4C246B01" w14:textId="5F2DE05E" w:rsidR="00736696" w:rsidRDefault="00736696" w:rsidP="008B5690">
      <w:pPr>
        <w:pStyle w:val="FRPCintPara"/>
        <w:numPr>
          <w:ilvl w:val="0"/>
          <w:numId w:val="0"/>
        </w:numPr>
        <w:ind w:left="720" w:hanging="720"/>
        <w:sectPr w:rsidR="00736696" w:rsidSect="00736696">
          <w:pgSz w:w="12240" w:h="15840"/>
          <w:pgMar w:top="1440" w:right="1440" w:bottom="1440" w:left="1440" w:header="708" w:footer="708" w:gutter="0"/>
          <w:cols w:space="708"/>
          <w:docGrid w:linePitch="360"/>
        </w:sectPr>
      </w:pPr>
    </w:p>
    <w:p w14:paraId="00C39E1A" w14:textId="68E64A59" w:rsidR="005426DA" w:rsidRDefault="00EE5171" w:rsidP="00EE5171">
      <w:pPr>
        <w:pStyle w:val="Caption"/>
      </w:pPr>
      <w:bookmarkStart w:id="76" w:name="_Ref53999419"/>
      <w:bookmarkStart w:id="77" w:name="_Toc54006650"/>
      <w:bookmarkStart w:id="78" w:name="_Toc54021153"/>
      <w:r>
        <w:lastRenderedPageBreak/>
        <w:t xml:space="preserve">Appendix </w:t>
      </w:r>
      <w:fldSimple w:instr=" SEQ Appendix \* ARABIC ">
        <w:r w:rsidR="00A74C32">
          <w:rPr>
            <w:noProof/>
          </w:rPr>
          <w:t>11</w:t>
        </w:r>
      </w:fldSimple>
      <w:bookmarkEnd w:id="76"/>
      <w:r>
        <w:tab/>
        <w:t>FRPC’s answers to the CRTC’s questions</w:t>
      </w:r>
      <w:bookmarkEnd w:id="77"/>
      <w:bookmarkEnd w:id="78"/>
    </w:p>
    <w:p w14:paraId="6925BAD2" w14:textId="77777777" w:rsidR="006D471D" w:rsidRPr="006D471D" w:rsidRDefault="006D471D" w:rsidP="006D471D"/>
    <w:p w14:paraId="49FB6E2E" w14:textId="77777777" w:rsidR="00EE5171" w:rsidRPr="0040089F" w:rsidRDefault="00EE5171" w:rsidP="006D471D">
      <w:pPr>
        <w:pStyle w:val="CRTCquestion"/>
        <w:ind w:left="360"/>
      </w:pPr>
      <w:r w:rsidRPr="0040089F">
        <w:t xml:space="preserve">CRTC Question 1 </w:t>
      </w:r>
      <w:r w:rsidRPr="0040089F">
        <w:tab/>
        <w:t>Does the CAB’s proposal align with the outcomes for this proceeding as set out above? If not, how could the CAB’s proposal be modified to better align with these outcomes?</w:t>
      </w:r>
    </w:p>
    <w:p w14:paraId="4DBEB5E6" w14:textId="77777777" w:rsidR="00EE5171" w:rsidRDefault="00EE5171" w:rsidP="00EE5171">
      <w:pPr>
        <w:pStyle w:val="FRPCintPara"/>
        <w:numPr>
          <w:ilvl w:val="0"/>
          <w:numId w:val="7"/>
        </w:numPr>
      </w:pPr>
      <w:r>
        <w:t>The outcomes mentioned in the question are:</w:t>
      </w:r>
    </w:p>
    <w:p w14:paraId="28551492" w14:textId="77777777" w:rsidR="00EE5171" w:rsidRDefault="00EE5171" w:rsidP="00EE5171">
      <w:pPr>
        <w:pStyle w:val="BulletText"/>
      </w:pPr>
      <w:r>
        <w:t>viability of the Canadian broadcasting sector is not further harmed as a result of the regulatory relief proposed</w:t>
      </w:r>
    </w:p>
    <w:p w14:paraId="6302DA9C" w14:textId="77777777" w:rsidR="00EE5171" w:rsidRDefault="00EE5171" w:rsidP="00EE5171">
      <w:pPr>
        <w:pStyle w:val="BulletText"/>
      </w:pPr>
      <w:r>
        <w:t>parties that currently benefit from the requirements imposed by the Commission on broadcasters are not unreasonably affected by any potential regulatory relief</w:t>
      </w:r>
    </w:p>
    <w:p w14:paraId="7F898E00" w14:textId="77777777" w:rsidR="00EE5171" w:rsidRDefault="00EE5171" w:rsidP="00EE5171">
      <w:pPr>
        <w:pStyle w:val="BulletText"/>
      </w:pPr>
      <w:r>
        <w:t>when viewed as a whole, current news and information programming and the service such programming provides to Canadians is maintained; and</w:t>
      </w:r>
    </w:p>
    <w:p w14:paraId="5B199574" w14:textId="77777777" w:rsidR="00EE5171" w:rsidRDefault="00EE5171" w:rsidP="00EE5171">
      <w:pPr>
        <w:pStyle w:val="BulletText"/>
      </w:pPr>
      <w:r>
        <w:t>any regulatory action is minimally administratively burdensome on those entities seeking relief but is easily monitored and supervised by the Commission in order to ensure appropriate accountability.</w:t>
      </w:r>
    </w:p>
    <w:p w14:paraId="7F875BED" w14:textId="77777777" w:rsidR="00EE5171" w:rsidRDefault="00EE5171" w:rsidP="00EE5171">
      <w:pPr>
        <w:pStyle w:val="BulletText"/>
        <w:numPr>
          <w:ilvl w:val="0"/>
          <w:numId w:val="0"/>
        </w:numPr>
        <w:ind w:left="1440"/>
      </w:pPr>
    </w:p>
    <w:p w14:paraId="06DE9CAB" w14:textId="77777777" w:rsidR="00EE5171" w:rsidRDefault="00EE5171" w:rsidP="00EE5171">
      <w:pPr>
        <w:pStyle w:val="FRPCintPara"/>
      </w:pPr>
      <w:r>
        <w:t xml:space="preserve">The Forum respectfully submits that </w:t>
      </w:r>
    </w:p>
    <w:p w14:paraId="252D127B" w14:textId="77777777" w:rsidR="00EE5171" w:rsidRDefault="00EE5171" w:rsidP="00EE5171">
      <w:pPr>
        <w:pStyle w:val="BulletText"/>
      </w:pPr>
      <w:r>
        <w:t>The viability of the broadcasting sector will be harmed if the measures proposed by the CAB are applied to all radio and television broadcast ownership groups, without consideration of the individual circumstances of these groups, and</w:t>
      </w:r>
    </w:p>
    <w:p w14:paraId="4D2AC1AA" w14:textId="4FE92976" w:rsidR="00EE5171" w:rsidRDefault="00EE5171" w:rsidP="00EE5171">
      <w:pPr>
        <w:pStyle w:val="BulletText"/>
      </w:pPr>
      <w:r>
        <w:t>the CAB’s express desire that the CRTC not require any information about broadcasters’ activities will make it impossible for the CRTC to monitor and supervise these activities, so as to ensure accountability.</w:t>
      </w:r>
    </w:p>
    <w:p w14:paraId="3EE87E44" w14:textId="77777777" w:rsidR="006D471D" w:rsidRDefault="006D471D" w:rsidP="006D471D">
      <w:pPr>
        <w:pStyle w:val="BulletText"/>
        <w:numPr>
          <w:ilvl w:val="0"/>
          <w:numId w:val="0"/>
        </w:numPr>
        <w:ind w:left="1440"/>
      </w:pPr>
    </w:p>
    <w:p w14:paraId="4DF7B4AF" w14:textId="77777777" w:rsidR="00EE5171" w:rsidRDefault="00EE5171" w:rsidP="006D471D">
      <w:pPr>
        <w:pStyle w:val="CRTCquestion"/>
        <w:ind w:left="360"/>
      </w:pPr>
      <w:r w:rsidRPr="0040089F">
        <w:t xml:space="preserve">CRTC Question </w:t>
      </w:r>
      <w:r>
        <w:t xml:space="preserve">2 </w:t>
      </w:r>
      <w:r>
        <w:tab/>
        <w:t>Does the [CRTC’s proposed] approach align with the outcomes for this proceeding as set out above? Please explain. If not, how could this approach be modified to better meet the outcomes?</w:t>
      </w:r>
    </w:p>
    <w:p w14:paraId="32DB8A99" w14:textId="77777777" w:rsidR="00EE5171" w:rsidRDefault="00EE5171" w:rsidP="00EE5171">
      <w:pPr>
        <w:pStyle w:val="FRPCintPara"/>
      </w:pPr>
      <w:r>
        <w:t>The approach mentioned by the question:</w:t>
      </w:r>
    </w:p>
    <w:p w14:paraId="2B60CE13" w14:textId="77777777" w:rsidR="00EE5171" w:rsidRDefault="00EE5171" w:rsidP="00EE5171">
      <w:pPr>
        <w:pStyle w:val="BulletText"/>
      </w:pPr>
      <w:r>
        <w:t>“For all broadcasters the CRTC would determine individual broadcasters’ compliance with its regulatory obligations for the 2019-2020 broadcast year based on whether that broadcaster has fulfilled such obligations over a more protracted period of time. That is, financial requirements could be spread over several years to give broadcasters needed flexibility while ensuring that  Canada’s creative industries can also continue to operate.”</w:t>
      </w:r>
    </w:p>
    <w:p w14:paraId="3BCE751C" w14:textId="77777777" w:rsidR="00EE5171" w:rsidRDefault="00EE5171" w:rsidP="00EE5171">
      <w:pPr>
        <w:pStyle w:val="BulletText"/>
        <w:numPr>
          <w:ilvl w:val="0"/>
          <w:numId w:val="0"/>
        </w:numPr>
        <w:ind w:left="1440"/>
      </w:pPr>
    </w:p>
    <w:p w14:paraId="7A6F9493" w14:textId="77777777" w:rsidR="00EE5171" w:rsidRDefault="00EE5171" w:rsidP="00EE5171">
      <w:pPr>
        <w:pStyle w:val="FRPCintPara"/>
      </w:pPr>
      <w:r>
        <w:t>The Forum agrees that the CRTC should determine individual broadcasters’ compliance with their regulatory obligations, and provide them with more time to meet these requirements.</w:t>
      </w:r>
    </w:p>
    <w:p w14:paraId="188A4244" w14:textId="77777777" w:rsidR="00EE5171" w:rsidRDefault="00EE5171" w:rsidP="006D471D">
      <w:pPr>
        <w:pStyle w:val="CRTCquestion"/>
        <w:ind w:left="360"/>
      </w:pPr>
      <w:r w:rsidRPr="0040089F">
        <w:lastRenderedPageBreak/>
        <w:t xml:space="preserve">CRTC Question </w:t>
      </w:r>
      <w:r>
        <w:t>3</w:t>
      </w:r>
      <w:r>
        <w:tab/>
        <w:t>Is this approach applicable equally to all expenditure- and exhibition-related requirements? If not, how should such requirements be treated?</w:t>
      </w:r>
    </w:p>
    <w:p w14:paraId="0B1CD903" w14:textId="36C5710B" w:rsidR="00EE5171" w:rsidRDefault="00EE5171" w:rsidP="00EE5171">
      <w:pPr>
        <w:pStyle w:val="FRPCintPara"/>
      </w:pPr>
      <w:r>
        <w:t xml:space="preserve">While expenditures may be spread over a longer period of time and required levels of Canadian drama may increase over time (in tandem with revenues, for instance), it is difficult to see how this should apply to the exhibition of local news programming.  It is likely that Canadians and individual communities will for the foreseeable future – </w:t>
      </w:r>
      <w:proofErr w:type="spellStart"/>
      <w:r>
        <w:t>ie</w:t>
      </w:r>
      <w:proofErr w:type="spellEnd"/>
      <w:r>
        <w:t>, the next two years – be far more focussed on local news than in previous years.  In this context, permitting local broadcasters to reduce the level of local news they currently provide w</w:t>
      </w:r>
      <w:r w:rsidR="006C4ED0">
        <w:t>ill not s</w:t>
      </w:r>
      <w:r>
        <w:t xml:space="preserve">erve the public interest. </w:t>
      </w:r>
    </w:p>
    <w:p w14:paraId="50DE6A89" w14:textId="77777777" w:rsidR="00EE5171" w:rsidRDefault="00EE5171" w:rsidP="006D471D">
      <w:pPr>
        <w:pStyle w:val="CRTCquestion"/>
        <w:ind w:left="360"/>
      </w:pPr>
      <w:r w:rsidRPr="00BF6823">
        <w:t xml:space="preserve">CRTC Question </w:t>
      </w:r>
      <w:r>
        <w:t>4</w:t>
      </w:r>
      <w:r>
        <w:tab/>
        <w:t xml:space="preserve"> To which entities should these solutions be applied, and under what circumstances would broadcasters be eligible to make use of the proposed flexibilities?</w:t>
      </w:r>
    </w:p>
    <w:p w14:paraId="7FA9E481" w14:textId="77777777" w:rsidR="00EE5171" w:rsidRDefault="00EE5171" w:rsidP="00EE5171">
      <w:pPr>
        <w:pStyle w:val="FRPCintPara"/>
      </w:pPr>
      <w:r>
        <w:t xml:space="preserve">Regulatory support should be provided to broadcasters that need it most – and in particular, independent broadcasters that operate a single radio or a single television station.  </w:t>
      </w:r>
    </w:p>
    <w:p w14:paraId="33B027CB" w14:textId="77777777" w:rsidR="00EE5171" w:rsidRDefault="00EE5171" w:rsidP="00EE5171">
      <w:pPr>
        <w:pStyle w:val="FRPCintPara"/>
      </w:pPr>
      <w:r>
        <w:t xml:space="preserve">Going forward, however, the CRTC will at some point hear broadcasters’ applications to renew their radio and/or television station licences.  The CRTC should not sanction broadcasters that maintained pre-Covid-19 employment and news levels during the current licence term.  </w:t>
      </w:r>
    </w:p>
    <w:p w14:paraId="1F7E0FD3" w14:textId="77777777" w:rsidR="00EE5171" w:rsidRDefault="00EE5171" w:rsidP="006D471D">
      <w:pPr>
        <w:pStyle w:val="CRTCquestion"/>
        <w:ind w:left="360"/>
      </w:pPr>
      <w:r w:rsidRPr="00BF6823">
        <w:t xml:space="preserve">CRTC Question </w:t>
      </w:r>
      <w:r>
        <w:t>5</w:t>
      </w:r>
      <w:r>
        <w:tab/>
        <w:t>If the Commission were to adopt this approach, what period of time should be granted to broadcasters for meeting their regulatory obligations for the 2019-2020 broadcast year? Should these obligations be spread equally over a period of time or ramped up over time?</w:t>
      </w:r>
    </w:p>
    <w:p w14:paraId="4231D144" w14:textId="77777777" w:rsidR="00EE5171" w:rsidRDefault="00EE5171" w:rsidP="00EE5171">
      <w:pPr>
        <w:pStyle w:val="FRPCintPara"/>
      </w:pPr>
      <w:r>
        <w:t>The Forum’s answer to Q5 is based on two key premises.  First, decisions of a future CRTC cannot be bound by decisions of the current CRTC.  Second, any regulated broadcaster may apply to the CRTC at any time for regulatory relief.  The combination of these two premises means that neither the CRTC nor broadcasters will be ‘bound’ – that is to say, compelled – to follow any approach devised by the CRTC at the moment.</w:t>
      </w:r>
    </w:p>
    <w:p w14:paraId="0C35FFB6" w14:textId="77777777" w:rsidR="00EE5171" w:rsidRDefault="00EE5171" w:rsidP="00EE5171">
      <w:pPr>
        <w:pStyle w:val="FRPCintPara"/>
      </w:pPr>
      <w:r>
        <w:t xml:space="preserve">The time granted to broadcasters to meet their regulatory obligations for the 2019/20 broadcast year depends on the resources of the broadcasters involved and on the recovery of Canada’s economy, which in turn depends on the unpredictable path of the Covid-19  pandemic.  </w:t>
      </w:r>
    </w:p>
    <w:p w14:paraId="0E9FB313" w14:textId="77777777" w:rsidR="00EE5171" w:rsidRDefault="00EE5171" w:rsidP="00EE5171">
      <w:pPr>
        <w:pStyle w:val="FRPCintPara"/>
      </w:pPr>
      <w:r>
        <w:t>As noted previously, ownership of Canada’s broadcasting sector is highly concentrated.  In this case a Biblical maxim is apt:  “</w:t>
      </w:r>
      <w:r w:rsidRPr="00F100FF">
        <w:t>To whom much is given, much will be required</w:t>
      </w:r>
      <w:r>
        <w:t>.”</w:t>
      </w:r>
      <w:r w:rsidRPr="00F100FF">
        <w:t xml:space="preserve"> (Luke 12:48).</w:t>
      </w:r>
      <w:r>
        <w:t xml:space="preserve">  Large, vertically integrated broadcasters should be required to meet their regulatory obligations for the 2019/20 broadcast year by the end of their current licence terms.</w:t>
      </w:r>
    </w:p>
    <w:p w14:paraId="1FA59E18" w14:textId="77777777" w:rsidR="00EE5171" w:rsidRDefault="00EE5171" w:rsidP="00EE5171">
      <w:pPr>
        <w:pStyle w:val="FRPCintPara"/>
      </w:pPr>
      <w:r>
        <w:lastRenderedPageBreak/>
        <w:t xml:space="preserve">Broadcasters that are not vertically integrated and that consequently lack extensive resources should be give given somewhat more time, as these broadcasters are typically located in smaller communities whose economies may (or may not be) harder hit by the Covid-19 pandemic. In the absence of more specific evidence from the CAB the Forum suggests that independent broadcasters be granted the remainder of their current licence term, and half of the next (five-year) licence term to meet their regulatory obligations for the 2019/20 broadcast year. </w:t>
      </w:r>
    </w:p>
    <w:p w14:paraId="60580766" w14:textId="77777777" w:rsidR="00EE5171" w:rsidRDefault="00EE5171" w:rsidP="006D471D">
      <w:pPr>
        <w:pStyle w:val="CRTCquestion"/>
        <w:ind w:left="360"/>
      </w:pPr>
      <w:r w:rsidRPr="00BF6823">
        <w:t xml:space="preserve">CRTC Question </w:t>
      </w:r>
      <w:r>
        <w:t>6</w:t>
      </w:r>
      <w:r>
        <w:tab/>
        <w:t>What possible regulatory relief or flexibility other than that requested by the CAB or proposed by the Commission could be granted to Canada’s broadcasters and would align with the outcomes set out by the Commission? In proposing solutions, the following must be addressed:</w:t>
      </w:r>
    </w:p>
    <w:p w14:paraId="2C20B17E" w14:textId="77777777" w:rsidR="00EE5171" w:rsidRDefault="00EE5171" w:rsidP="006D471D">
      <w:pPr>
        <w:pStyle w:val="CRTCquestion"/>
        <w:ind w:left="360"/>
      </w:pPr>
      <w:r>
        <w:tab/>
        <w:t>1.</w:t>
      </w:r>
      <w:r>
        <w:tab/>
        <w:t>What regulatory requirements should be subject to these proposed flexibilities?</w:t>
      </w:r>
    </w:p>
    <w:p w14:paraId="7D45F5A7" w14:textId="77777777" w:rsidR="00EE5171" w:rsidRDefault="00EE5171" w:rsidP="006D471D">
      <w:pPr>
        <w:pStyle w:val="CRTCquestion"/>
        <w:ind w:left="360"/>
      </w:pPr>
      <w:r>
        <w:tab/>
        <w:t>2.</w:t>
      </w:r>
      <w:r>
        <w:tab/>
        <w:t>To which entities should these solutions be applied, and under what circumstances would broadcasters be eligible to make use of the proposed flexibilities?</w:t>
      </w:r>
    </w:p>
    <w:p w14:paraId="7FEE016C" w14:textId="77777777" w:rsidR="00EE5171" w:rsidRDefault="00EE5171" w:rsidP="006D471D">
      <w:pPr>
        <w:pStyle w:val="CRTCquestion"/>
        <w:ind w:left="360"/>
      </w:pPr>
      <w:r>
        <w:tab/>
        <w:t>3.</w:t>
      </w:r>
      <w:r>
        <w:tab/>
        <w:t>For how long should any flexibilities provided by the Commission to Canada’s broadcasters apply?</w:t>
      </w:r>
    </w:p>
    <w:p w14:paraId="68B992E1" w14:textId="77777777" w:rsidR="00EE5171" w:rsidRDefault="00EE5171" w:rsidP="00EE5171">
      <w:pPr>
        <w:pStyle w:val="FRPCintPara"/>
      </w:pPr>
      <w:r>
        <w:t>The Forum has no comments on this question at this time.</w:t>
      </w:r>
    </w:p>
    <w:p w14:paraId="0F6CF348" w14:textId="77777777" w:rsidR="00EE5171" w:rsidRDefault="00EE5171" w:rsidP="006D471D">
      <w:pPr>
        <w:pStyle w:val="CRTCquestion"/>
        <w:ind w:left="360"/>
      </w:pPr>
      <w:r w:rsidRPr="00BF6823">
        <w:t xml:space="preserve">CRTC Question </w:t>
      </w:r>
      <w:r>
        <w:t>7</w:t>
      </w:r>
      <w:r>
        <w:tab/>
        <w:t>On which elements of any flexibility proposed in the context of this notice of consultation should the Commission require broadcasters to report? On which elements should they be required to publicly report?</w:t>
      </w:r>
    </w:p>
    <w:p w14:paraId="61BDD51D" w14:textId="45ACD8C6" w:rsidR="00EE5171" w:rsidRDefault="00EE5171" w:rsidP="00EE5171">
      <w:pPr>
        <w:pStyle w:val="FRPCintPara"/>
      </w:pPr>
      <w:r>
        <w:t xml:space="preserve">The CRTC should ensure that broadcasters provide clear documentation about the financial impact of any flexibility granted, as well as the impact of such flexibility on </w:t>
      </w:r>
      <w:r w:rsidR="00F27771">
        <w:t xml:space="preserve">programming hours and </w:t>
      </w:r>
      <w:r>
        <w:t>employment opportunities.</w:t>
      </w:r>
    </w:p>
    <w:p w14:paraId="4AA5B012" w14:textId="7CEC56FC" w:rsidR="00EE5171" w:rsidRDefault="00EE5171" w:rsidP="00EE5171">
      <w:pPr>
        <w:pStyle w:val="FRPCintPara"/>
      </w:pPr>
      <w:r>
        <w:t>The key outcome from this proceeding from the Forum’s perspective, however, will be the maintenance of Canadian programming.  Broadcasters seeking regulatory flexibility should be required to report publicly on the levels and types of programming they are broadcasting</w:t>
      </w:r>
      <w:r w:rsidR="00F27771">
        <w:t>, including original or first-run hours.</w:t>
      </w:r>
    </w:p>
    <w:p w14:paraId="7F9B8F5F" w14:textId="77777777" w:rsidR="00EE5171" w:rsidRDefault="00EE5171" w:rsidP="006D471D">
      <w:pPr>
        <w:pStyle w:val="CRTCquestion"/>
        <w:ind w:left="360"/>
      </w:pPr>
      <w:r w:rsidRPr="00BF6823">
        <w:t xml:space="preserve">CRTC Question </w:t>
      </w:r>
      <w:r>
        <w:t>8</w:t>
      </w:r>
      <w:r>
        <w:tab/>
        <w:t>What form and frequency should such reporting take? Are additional measures beyond current reporting requirements (relating, for example, to annual returns and the program logs) necessary in regard to reporting on and monitoring compliance with the proposed approach?</w:t>
      </w:r>
    </w:p>
    <w:p w14:paraId="0DD81A23" w14:textId="2CB81FAC" w:rsidR="00EE5171" w:rsidRDefault="00EE5171" w:rsidP="00EE5171">
      <w:pPr>
        <w:pStyle w:val="FRPCintPara"/>
      </w:pPr>
      <w:r>
        <w:t xml:space="preserve">Published reporting must take place at least yearly, but it would be preferable– if financial and programming reports were made and published </w:t>
      </w:r>
      <w:r w:rsidR="00F27771">
        <w:t xml:space="preserve">more frequently, </w:t>
      </w:r>
      <w:r>
        <w:t>every three months (</w:t>
      </w:r>
      <w:proofErr w:type="spellStart"/>
      <w:r>
        <w:t>ie</w:t>
      </w:r>
      <w:proofErr w:type="spellEnd"/>
      <w:r>
        <w:t>, quarterly)</w:t>
      </w:r>
      <w:r w:rsidR="00D42DAC">
        <w:t xml:space="preserve"> as is done in the United Kingdom</w:t>
      </w:r>
      <w:r>
        <w:t>.</w:t>
      </w:r>
    </w:p>
    <w:p w14:paraId="6D20DDEA" w14:textId="77777777" w:rsidR="00EE5171" w:rsidRDefault="00EE5171" w:rsidP="006D471D">
      <w:pPr>
        <w:pStyle w:val="CRTCquestion"/>
        <w:ind w:left="360"/>
      </w:pPr>
      <w:r w:rsidRPr="00BF6823">
        <w:lastRenderedPageBreak/>
        <w:t xml:space="preserve">CRTC Question </w:t>
      </w:r>
      <w:r>
        <w:t>9</w:t>
      </w:r>
      <w:r>
        <w:tab/>
        <w:t>Are there any elements of this reporting for which broadcasters should be granted confidentiality?</w:t>
      </w:r>
    </w:p>
    <w:p w14:paraId="20EE51AC" w14:textId="77777777" w:rsidR="00EE5171" w:rsidRDefault="00EE5171" w:rsidP="00EE5171">
      <w:pPr>
        <w:pStyle w:val="FRPCintPara"/>
      </w:pPr>
      <w:r>
        <w:t>It is unclear whether this question refers to broadcasters or to licensees.  Radio and television licensees have for the last several decades been granted confidentiality concerning most aspects of their financial position.  Programming information, on the other hand, has never been granted confidentiality, as broadcast programming is by definition public.  That said, the CRTC no longer requires radio broadcasters to submit their monthly program logs to the Commission, and even when these logs were submitted, they were not made public.  The logs of television programming services, however, have been public since the late 1990s.</w:t>
      </w:r>
    </w:p>
    <w:p w14:paraId="71BFEA1B" w14:textId="4BC4F683" w:rsidR="00EE5171" w:rsidRDefault="00EE5171" w:rsidP="00EE5171">
      <w:pPr>
        <w:pStyle w:val="FRPCintPara"/>
      </w:pPr>
      <w:r>
        <w:t>The Forum submits that broadcasters with three or more undertakings should be required to submit aggregated information about their financial position – and in particular, regarding their annual expenditures and employment levels</w:t>
      </w:r>
      <w:r w:rsidR="00F27771">
        <w:t xml:space="preserve"> and that this information should be made public on an aggregated basis (that is, aggregated by ownership group)</w:t>
      </w:r>
      <w:r>
        <w:t xml:space="preserve">.  The CRTC should </w:t>
      </w:r>
      <w:r w:rsidR="00F27771">
        <w:t xml:space="preserve">also (first request, in the case of radio licensees and  then) </w:t>
      </w:r>
      <w:r>
        <w:t>publish information about the hours of programming broadcast by radio and television stations to establish</w:t>
      </w:r>
    </w:p>
    <w:p w14:paraId="6A84F79B" w14:textId="77777777" w:rsidR="00EE5171" w:rsidRDefault="00EE5171" w:rsidP="00EE5171">
      <w:pPr>
        <w:pStyle w:val="BulletText"/>
      </w:pPr>
      <w:r>
        <w:t>Total hours of local programming and of news per week</w:t>
      </w:r>
    </w:p>
    <w:p w14:paraId="0A1BE16F" w14:textId="77777777" w:rsidR="00EE5171" w:rsidRDefault="00EE5171" w:rsidP="00EE5171">
      <w:pPr>
        <w:pStyle w:val="BulletText"/>
      </w:pPr>
      <w:r>
        <w:t xml:space="preserve">Total hours of </w:t>
      </w:r>
      <w:r>
        <w:rPr>
          <w:b/>
          <w:bCs/>
          <w:u w:val="single"/>
        </w:rPr>
        <w:t xml:space="preserve">first-run </w:t>
      </w:r>
      <w:r>
        <w:t xml:space="preserve"> local programming and of news per week.</w:t>
      </w:r>
    </w:p>
    <w:p w14:paraId="6AA416EB" w14:textId="77777777" w:rsidR="00EE5171" w:rsidRDefault="00EE5171" w:rsidP="00EE5171">
      <w:pPr>
        <w:pStyle w:val="BulletText"/>
        <w:numPr>
          <w:ilvl w:val="0"/>
          <w:numId w:val="0"/>
        </w:numPr>
        <w:ind w:left="1440" w:hanging="720"/>
      </w:pPr>
    </w:p>
    <w:p w14:paraId="34102D08" w14:textId="77777777" w:rsidR="00EE5171" w:rsidRDefault="00EE5171" w:rsidP="00EE5171">
      <w:pPr>
        <w:pStyle w:val="FRPCintPara"/>
      </w:pPr>
      <w:r>
        <w:t>The CRTC should publish information about television broadcasters’</w:t>
      </w:r>
    </w:p>
    <w:p w14:paraId="6B9C68D1" w14:textId="77777777" w:rsidR="00EE5171" w:rsidRDefault="00EE5171" w:rsidP="00EE5171">
      <w:pPr>
        <w:pStyle w:val="BulletText"/>
      </w:pPr>
      <w:r>
        <w:t>Total hours of Canadian and non-Canadian drama (and comedy) per month</w:t>
      </w:r>
    </w:p>
    <w:p w14:paraId="6A6DFCC1" w14:textId="77777777" w:rsidR="00EE5171" w:rsidRDefault="00EE5171" w:rsidP="00EE5171">
      <w:pPr>
        <w:pStyle w:val="BulletText"/>
      </w:pPr>
      <w:r>
        <w:t xml:space="preserve">Total hours of </w:t>
      </w:r>
      <w:r>
        <w:rPr>
          <w:b/>
          <w:bCs/>
          <w:u w:val="single"/>
        </w:rPr>
        <w:t>first-run</w:t>
      </w:r>
      <w:r>
        <w:t xml:space="preserve"> Canadian and non-Canadian drama (and comedy) per month</w:t>
      </w:r>
    </w:p>
    <w:p w14:paraId="1886686F" w14:textId="77777777" w:rsidR="00EE5171" w:rsidRPr="00893D0F" w:rsidRDefault="00EE5171" w:rsidP="00EE5171">
      <w:pPr>
        <w:pStyle w:val="BulletText"/>
      </w:pPr>
      <w:r w:rsidRPr="00893D0F">
        <w:t>Total</w:t>
      </w:r>
      <w:r>
        <w:t xml:space="preserve"> hours of captioned programming, and total hours of first-run programming that is captioned</w:t>
      </w:r>
    </w:p>
    <w:p w14:paraId="05F64F2D" w14:textId="77777777" w:rsidR="00FB1990" w:rsidRDefault="00FB1990" w:rsidP="008B5690">
      <w:pPr>
        <w:pStyle w:val="FRPCintPara"/>
        <w:numPr>
          <w:ilvl w:val="0"/>
          <w:numId w:val="0"/>
        </w:numPr>
        <w:ind w:left="720" w:hanging="720"/>
        <w:sectPr w:rsidR="00FB1990" w:rsidSect="007B57F7">
          <w:pgSz w:w="12240" w:h="15840"/>
          <w:pgMar w:top="1440" w:right="1440" w:bottom="1440" w:left="1440" w:header="708" w:footer="708" w:gutter="0"/>
          <w:cols w:space="708"/>
          <w:docGrid w:linePitch="360"/>
        </w:sectPr>
      </w:pPr>
    </w:p>
    <w:p w14:paraId="346C8D65" w14:textId="1B17E303" w:rsidR="00EE5171" w:rsidRPr="008B5690" w:rsidRDefault="00FB1990" w:rsidP="006613B4">
      <w:pPr>
        <w:pStyle w:val="Heading1"/>
        <w:numPr>
          <w:ilvl w:val="0"/>
          <w:numId w:val="0"/>
        </w:numPr>
      </w:pPr>
      <w:bookmarkStart w:id="79" w:name="_Toc54021175"/>
      <w:r w:rsidRPr="00FB1990">
        <w:lastRenderedPageBreak/>
        <w:t>Endnotes</w:t>
      </w:r>
      <w:bookmarkEnd w:id="79"/>
    </w:p>
    <w:sectPr w:rsidR="00EE5171" w:rsidRPr="008B5690" w:rsidSect="00DB1ECA">
      <w:headerReference w:type="default" r:id="rId24"/>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7B77A" w14:textId="77777777" w:rsidR="00D205BD" w:rsidRPr="00AB2781" w:rsidRDefault="00D205BD" w:rsidP="00AB2781">
      <w:pPr>
        <w:pStyle w:val="Footer"/>
      </w:pPr>
    </w:p>
  </w:endnote>
  <w:endnote w:type="continuationSeparator" w:id="0">
    <w:p w14:paraId="66805EDC" w14:textId="77777777" w:rsidR="00D205BD" w:rsidRPr="00AB2781" w:rsidRDefault="00D205BD" w:rsidP="00AB2781">
      <w:pPr>
        <w:pStyle w:val="Footer"/>
      </w:pPr>
    </w:p>
  </w:endnote>
  <w:endnote w:type="continuationNotice" w:id="1">
    <w:p w14:paraId="2FAD8455" w14:textId="77777777" w:rsidR="00D205BD" w:rsidRDefault="00D205BD"/>
  </w:endnote>
  <w:endnote w:id="2">
    <w:p w14:paraId="42BFB64D" w14:textId="54C27069" w:rsidR="00A74C32" w:rsidRDefault="00A74C32" w:rsidP="00BD5D54">
      <w:pPr>
        <w:pStyle w:val="EndnoteText"/>
      </w:pPr>
      <w:r>
        <w:rPr>
          <w:rStyle w:val="EndnoteReference"/>
        </w:rPr>
        <w:endnoteRef/>
      </w:r>
      <w:r>
        <w:t xml:space="preserve"> </w:t>
      </w:r>
      <w:r>
        <w:tab/>
        <w:t xml:space="preserve">Michael P. Byron, “Modeling the Global International System:  Logical Consistency with Theory, Internal Self-Consistency, and Empirical Falsifiability”, </w:t>
      </w:r>
      <w:r w:rsidRPr="008C3693">
        <w:rPr>
          <w:i/>
          <w:iCs/>
        </w:rPr>
        <w:t>Journal of Sociocybernetics</w:t>
      </w:r>
      <w:r>
        <w:t xml:space="preserve">, Vol. 2: 1 (Spring/Summer 2001), 9-32, </w:t>
      </w:r>
      <w:hyperlink r:id="rId1" w:anchor="page=15" w:history="1">
        <w:r w:rsidRPr="00230B07">
          <w:rPr>
            <w:rStyle w:val="Hyperlink"/>
          </w:rPr>
          <w:t>https://www.unizar.es/sociocybernetics/Journal/JoS2-1.pdf#page=15</w:t>
        </w:r>
      </w:hyperlink>
      <w:r>
        <w:t>, at 12:</w:t>
      </w:r>
    </w:p>
    <w:p w14:paraId="425F5305" w14:textId="5E00CFB7" w:rsidR="00A74C32" w:rsidRPr="00A75B50" w:rsidRDefault="00A74C32" w:rsidP="00A75B50">
      <w:pPr>
        <w:pStyle w:val="EndnoteText"/>
        <w:ind w:left="720"/>
        <w:jc w:val="both"/>
        <w:rPr>
          <w:sz w:val="18"/>
          <w:szCs w:val="18"/>
        </w:rPr>
      </w:pPr>
      <w:r w:rsidRPr="00A75B50">
        <w:rPr>
          <w:sz w:val="18"/>
          <w:szCs w:val="18"/>
        </w:rPr>
        <w:t>Most events are routine and so can be dealt with by existent decisional procedures. Occasionally, an event, which cannot be so dealt with, occurs. This precipitates a crisis. Crisis is defined as any threatening, or unanticipated, eventuality which has the perceived potential to substantially reduce, or eliminate altogether, the well-being, or more precisely, fitness, of the international system and that cannot be resolved by application of existent decisional procedures.</w:t>
      </w:r>
    </w:p>
  </w:endnote>
  <w:endnote w:id="3">
    <w:p w14:paraId="0045D5FD" w14:textId="03727FC4" w:rsidR="00A74C32" w:rsidRDefault="00A74C32">
      <w:pPr>
        <w:pStyle w:val="EndnoteText"/>
      </w:pPr>
      <w:r>
        <w:rPr>
          <w:rStyle w:val="EndnoteReference"/>
        </w:rPr>
        <w:endnoteRef/>
      </w:r>
      <w:r>
        <w:t xml:space="preserve"> </w:t>
      </w:r>
      <w:r>
        <w:tab/>
      </w:r>
      <w:r w:rsidRPr="00E10F5E">
        <w:t>World Health Organization, “WHO Director-General's opening remarks at the media briefing on COVID-19 - 11 March 2020” (11 March 2020), https://www.who.int/dg/speeches/detail/who-director-general-s-opening-remarks-at-the-media-briefing-on-covid-19---11-march-2020.</w:t>
      </w:r>
    </w:p>
  </w:endnote>
  <w:endnote w:id="4">
    <w:p w14:paraId="349A64B3" w14:textId="64D2CC2C" w:rsidR="00A74C32" w:rsidRDefault="00A74C32" w:rsidP="006F55E3">
      <w:pPr>
        <w:pStyle w:val="EndnoteText"/>
      </w:pPr>
      <w:r>
        <w:rPr>
          <w:rStyle w:val="EndnoteReference"/>
        </w:rPr>
        <w:endnoteRef/>
      </w:r>
      <w:r>
        <w:t xml:space="preserve"> </w:t>
      </w:r>
      <w:r>
        <w:tab/>
        <w:t xml:space="preserve">Tristan Bronca, “COVID-19: A Canadian timeline - A look back at how the novel coronavirus began its spread across the nation and how our healthcare leaders responded” (8 April 2020), </w:t>
      </w:r>
      <w:hyperlink r:id="rId2" w:history="1">
        <w:r w:rsidRPr="00E62C97">
          <w:rPr>
            <w:rStyle w:val="Hyperlink"/>
          </w:rPr>
          <w:t>https://www.canadianhealthcarenetwork.ca/covid-19-a-canadian-timeline</w:t>
        </w:r>
      </w:hyperlink>
      <w:r>
        <w:t xml:space="preserve">. The first case of Covid-19 in Canada was reported on 25 January 2020; by 26 February 2020 Canada had 12 confirmed cases, and by 24 March 2020, there were 2,792 confirmed cases:  </w:t>
      </w:r>
      <w:r w:rsidRPr="000537A8">
        <w:rPr>
          <w:i/>
          <w:iCs/>
        </w:rPr>
        <w:t>Ibid</w:t>
      </w:r>
      <w:r>
        <w:t xml:space="preserve">.  </w:t>
      </w:r>
    </w:p>
  </w:endnote>
  <w:endnote w:id="5">
    <w:p w14:paraId="0EF11B1D" w14:textId="298C0BBD" w:rsidR="00A74C32" w:rsidRDefault="00A74C32">
      <w:pPr>
        <w:pStyle w:val="EndnoteText"/>
      </w:pPr>
      <w:r>
        <w:rPr>
          <w:rStyle w:val="EndnoteReference"/>
        </w:rPr>
        <w:endnoteRef/>
      </w:r>
      <w:r>
        <w:t xml:space="preserve"> </w:t>
      </w:r>
      <w:r>
        <w:tab/>
        <w:t xml:space="preserve">By 22 March 2020 all Canadian provinces and territories had declared states of emergency:  </w:t>
      </w:r>
      <w:r w:rsidRPr="000537A8">
        <w:rPr>
          <w:i/>
          <w:iCs/>
        </w:rPr>
        <w:t>Ibid</w:t>
      </w:r>
      <w:r>
        <w:t>.</w:t>
      </w:r>
    </w:p>
  </w:endnote>
  <w:endnote w:id="6">
    <w:p w14:paraId="71398FAB" w14:textId="0A21BBBF" w:rsidR="00A74C32" w:rsidRDefault="00A74C32">
      <w:pPr>
        <w:pStyle w:val="EndnoteText"/>
      </w:pPr>
      <w:r>
        <w:rPr>
          <w:rStyle w:val="EndnoteReference"/>
        </w:rPr>
        <w:endnoteRef/>
      </w:r>
      <w:r>
        <w:t xml:space="preserve"> </w:t>
      </w:r>
      <w:r>
        <w:tab/>
        <w:t>Canada, “</w:t>
      </w:r>
      <w:r w:rsidRPr="00C639A7">
        <w:t>Coronavirus disease (COVID-19): Outbreak update</w:t>
      </w:r>
      <w:r>
        <w:t xml:space="preserve">”, </w:t>
      </w:r>
      <w:hyperlink r:id="rId3" w:history="1">
        <w:r w:rsidRPr="00E62C97">
          <w:rPr>
            <w:rStyle w:val="Hyperlink"/>
          </w:rPr>
          <w:t>https://www.canada.ca/en/public-health/services/diseases/2019-novel-coronavirus-infection.html?&amp;utm_campaign=gc-hc-sc-coronavirus2021-ao-2021-0005-9834796012&amp;utm_medium=search&amp;utm_source=google_grant-ads-107802327544&amp;utm_content=text-en-434601690158&amp;utm_term=%2Bcovid%20%2B19%20%2Bcanada</w:t>
        </w:r>
      </w:hyperlink>
      <w:r>
        <w:t>. As of October 15, 2020 the Federal government reported 9,699 deaths in Canada related to Covid-19.</w:t>
      </w:r>
    </w:p>
  </w:endnote>
  <w:endnote w:id="7">
    <w:p w14:paraId="15E420B9" w14:textId="4C8CBE77" w:rsidR="00A74C32" w:rsidRDefault="00A74C32">
      <w:pPr>
        <w:pStyle w:val="EndnoteText"/>
      </w:pPr>
      <w:r>
        <w:rPr>
          <w:rStyle w:val="EndnoteReference"/>
        </w:rPr>
        <w:endnoteRef/>
      </w:r>
      <w:r>
        <w:t xml:space="preserve"> </w:t>
      </w:r>
      <w:r>
        <w:tab/>
        <w:t>Wulong Gu, “</w:t>
      </w:r>
      <w:r w:rsidRPr="0028746A">
        <w:t>Economic Impact of the COVID-19 Pandemic on Canadian Businesses across Firm Size Classes</w:t>
      </w:r>
      <w:r>
        <w:t xml:space="preserve">”, Statistics Canada, </w:t>
      </w:r>
      <w:r w:rsidRPr="008C3693">
        <w:rPr>
          <w:i/>
          <w:iCs/>
        </w:rPr>
        <w:t>Economic Insights</w:t>
      </w:r>
      <w:r>
        <w:t xml:space="preserve">, Cat. 11-626-X, </w:t>
      </w:r>
      <w:hyperlink r:id="rId4" w:history="1">
        <w:r w:rsidRPr="00E62C97">
          <w:rPr>
            <w:rStyle w:val="Hyperlink"/>
          </w:rPr>
          <w:t>https://www150.statcan.gc.ca/n1/pub/11-626-x/11-626-x2020017-eng.htm</w:t>
        </w:r>
      </w:hyperlink>
      <w:r>
        <w:t xml:space="preserve">. </w:t>
      </w:r>
    </w:p>
  </w:endnote>
  <w:endnote w:id="8">
    <w:p w14:paraId="50255F1E" w14:textId="69B35203" w:rsidR="00A74C32" w:rsidRDefault="00A74C32">
      <w:pPr>
        <w:pStyle w:val="EndnoteText"/>
      </w:pPr>
      <w:r>
        <w:rPr>
          <w:rStyle w:val="EndnoteReference"/>
        </w:rPr>
        <w:endnoteRef/>
      </w:r>
      <w:r>
        <w:t xml:space="preserve"> </w:t>
      </w:r>
      <w:r>
        <w:tab/>
        <w:t xml:space="preserve">Statistics Canada, “Canadian Economic Dashboard and COVID-19”, “1-month percentage change”, real gross domestic product (chained 2012 dollars), </w:t>
      </w:r>
      <w:hyperlink r:id="rId5" w:history="1">
        <w:r w:rsidRPr="00D9750C">
          <w:rPr>
            <w:rStyle w:val="Hyperlink"/>
          </w:rPr>
          <w:t>https://www150.statcan.gc.ca/n1/pub/71-607-x/71-607-x2020009-eng.htm</w:t>
        </w:r>
      </w:hyperlink>
      <w:r>
        <w:t xml:space="preserve">. </w:t>
      </w:r>
    </w:p>
  </w:endnote>
  <w:endnote w:id="9">
    <w:p w14:paraId="32539311" w14:textId="333D19ED" w:rsidR="00A74C32" w:rsidRDefault="00A74C32">
      <w:pPr>
        <w:pStyle w:val="EndnoteText"/>
      </w:pPr>
      <w:r>
        <w:rPr>
          <w:rStyle w:val="EndnoteReference"/>
        </w:rPr>
        <w:endnoteRef/>
      </w:r>
      <w:r>
        <w:t xml:space="preserve"> </w:t>
      </w:r>
      <w:r>
        <w:tab/>
        <w:t>Local and national advertising worth $1.3 billion comprised 85.1% of private TV stations’ total revenues in 2018/19; local and national advertising worth $1.4 billion comprised 98.3% of private radio stations’ total revenues in the same year:  CRTC statistical and financial summaries for television and radio.</w:t>
      </w:r>
    </w:p>
  </w:endnote>
  <w:endnote w:id="10">
    <w:p w14:paraId="56B0E703" w14:textId="05AC527F" w:rsidR="00A74C32" w:rsidRDefault="00A74C32">
      <w:pPr>
        <w:pStyle w:val="EndnoteText"/>
      </w:pPr>
      <w:r>
        <w:rPr>
          <w:rStyle w:val="EndnoteReference"/>
        </w:rPr>
        <w:endnoteRef/>
      </w:r>
      <w:r>
        <w:t xml:space="preserve"> </w:t>
      </w:r>
      <w:r>
        <w:tab/>
        <w:t>Rachel Aiello, “</w:t>
      </w:r>
      <w:r w:rsidRPr="008E1F55">
        <w:t>PM says second wave 'frustrating', as Canada is projected to see thousands of new COVID-19 cases</w:t>
      </w:r>
      <w:r>
        <w:t xml:space="preserve">”, ctvnews.ca (9 October 2020 10:18AM EDT, updated 3:41PM EDT),  </w:t>
      </w:r>
      <w:hyperlink r:id="rId6" w:history="1">
        <w:r w:rsidRPr="001432E8">
          <w:rPr>
            <w:rStyle w:val="Hyperlink"/>
          </w:rPr>
          <w:t>https://www.ctvnews.ca/health/coronavirus/pm-says-second-wave-frustrating-as-canada-is-projected-to-see-thousands-of-new-covid-19-cases-1.5139466</w:t>
        </w:r>
      </w:hyperlink>
      <w:r>
        <w:t xml:space="preserve">: </w:t>
      </w:r>
    </w:p>
    <w:p w14:paraId="5B069166" w14:textId="2B67C205" w:rsidR="00A74C32" w:rsidRPr="006613B4" w:rsidRDefault="00A74C32" w:rsidP="006613B4">
      <w:pPr>
        <w:pStyle w:val="EndnoteText"/>
        <w:ind w:left="720"/>
        <w:jc w:val="both"/>
        <w:rPr>
          <w:sz w:val="18"/>
          <w:szCs w:val="18"/>
        </w:rPr>
      </w:pPr>
      <w:r w:rsidRPr="006613B4">
        <w:rPr>
          <w:sz w:val="18"/>
          <w:szCs w:val="18"/>
        </w:rPr>
        <w:t>“We're at a tipping point in this pandemic. Not only is the second wave underway, yesterday we hit the highest daily recorded cases, well above what saw this spring,” said Prime Minister Justin Trudeau.</w:t>
      </w:r>
    </w:p>
  </w:endnote>
  <w:endnote w:id="11">
    <w:p w14:paraId="32C17FF5" w14:textId="77777777" w:rsidR="00A74C32" w:rsidRDefault="00A74C32">
      <w:pPr>
        <w:pStyle w:val="EndnoteText"/>
      </w:pPr>
      <w:r>
        <w:rPr>
          <w:rStyle w:val="EndnoteReference"/>
        </w:rPr>
        <w:endnoteRef/>
      </w:r>
      <w:r>
        <w:t xml:space="preserve"> </w:t>
      </w:r>
      <w:r>
        <w:tab/>
        <w:t xml:space="preserve">‘True’, in that two of the three accepted criteria may no longer be fully applicable – surprise and the short period for response.  </w:t>
      </w:r>
    </w:p>
    <w:p w14:paraId="666BC0E6" w14:textId="2E64BBE7" w:rsidR="00A74C32" w:rsidRDefault="00A74C32" w:rsidP="00697C16">
      <w:pPr>
        <w:pStyle w:val="EndnoteText"/>
        <w:ind w:firstLine="720"/>
      </w:pPr>
      <w:r>
        <w:t>In terms of surprise, global health pandemics were not unexpected (though Canada’s early warning system, the Global Public Health Intelligence Network, “went silent” on 24 May 2018 – Grant Robertson, “</w:t>
      </w:r>
      <w:r w:rsidRPr="00802C92">
        <w:t>Auditor-General to probe lapse in Canada’s pandemic warning system</w:t>
      </w:r>
      <w:r>
        <w:t xml:space="preserve">”, </w:t>
      </w:r>
      <w:r>
        <w:rPr>
          <w:i/>
          <w:iCs/>
        </w:rPr>
        <w:t xml:space="preserve">Globe and Mail </w:t>
      </w:r>
      <w:r>
        <w:t xml:space="preserve">(30 July 2020),  </w:t>
      </w:r>
      <w:hyperlink r:id="rId7" w:history="1">
        <w:r w:rsidRPr="00E62C97">
          <w:rPr>
            <w:rStyle w:val="Hyperlink"/>
          </w:rPr>
          <w:t>https://www.theglobeandmail.com/canada/investigations/article-auditor-general-to-probe-oversight-of-countrys-pandemic-warning/</w:t>
        </w:r>
      </w:hyperlink>
      <w:r>
        <w:t>).</w:t>
      </w:r>
    </w:p>
    <w:p w14:paraId="104CED73" w14:textId="60A4EFA2" w:rsidR="00A74C32" w:rsidRDefault="00A74C32" w:rsidP="00697C16">
      <w:pPr>
        <w:pStyle w:val="EndnoteText"/>
        <w:ind w:firstLine="720"/>
      </w:pPr>
      <w:r>
        <w:t xml:space="preserve">Insofar as a short period for response is concerned, the world has now endured almost a year of exposure to the Covid 19 virus, and its ill effects are expected to linger even after an effective vaccine becomes available to the general population, likely sometime in 2021 (The Canadian Press, “Canada has now committed more than $1 bilion to buy doses of COVID-19 vaccines”, CBC.ca (22 September 2020), </w:t>
      </w:r>
      <w:r w:rsidRPr="00545D87">
        <w:t>https://www.cbc.ca/news/health/canada-vaccine-agreements-1.5734101</w:t>
      </w:r>
      <w:r>
        <w:t xml:space="preserve"> </w:t>
      </w:r>
    </w:p>
  </w:endnote>
  <w:endnote w:id="12">
    <w:p w14:paraId="5697BDD3" w14:textId="7AA74F7D" w:rsidR="00A74C32" w:rsidRPr="000079BC" w:rsidRDefault="00A74C32">
      <w:pPr>
        <w:pStyle w:val="EndnoteText"/>
      </w:pPr>
      <w:r>
        <w:rPr>
          <w:rStyle w:val="EndnoteReference"/>
        </w:rPr>
        <w:endnoteRef/>
      </w:r>
      <w:r>
        <w:t xml:space="preserve"> </w:t>
      </w:r>
      <w:r>
        <w:tab/>
        <w:t xml:space="preserve">CAB, Part 1 Application, DM#3890215, at ¶6.  </w:t>
      </w:r>
    </w:p>
  </w:endnote>
  <w:endnote w:id="13">
    <w:p w14:paraId="79ED2C6D" w14:textId="555C68FD" w:rsidR="00A74C32" w:rsidRDefault="00A74C32">
      <w:pPr>
        <w:pStyle w:val="EndnoteText"/>
      </w:pPr>
      <w:r>
        <w:rPr>
          <w:rStyle w:val="EndnoteReference"/>
        </w:rPr>
        <w:endnoteRef/>
      </w:r>
      <w:r>
        <w:t xml:space="preserve"> </w:t>
      </w:r>
      <w:r>
        <w:tab/>
        <w:t>The CAB (</w:t>
      </w:r>
      <w:hyperlink r:id="rId8" w:history="1">
        <w:r w:rsidRPr="00D9750C">
          <w:rPr>
            <w:rStyle w:val="Hyperlink"/>
          </w:rPr>
          <w:t>https://www.cab-acr.ca/english/pdf/CAB_Covid-19_Letter.pdf</w:t>
        </w:r>
      </w:hyperlink>
      <w:r>
        <w:t xml:space="preserve">) asked the Federal government to redirect all Federal advertising to Canadian media outlets, suspend all monthly/quarterly Federal HST installment payments, suspend broadcast licence fees, reimburse TV broadcaster 600 MHz relocation expenses, extend the journalism tax credit to broadcasters, make “TV news and other broadcaster produced programming eligible for production tax credits”, expand temporary wage subsidy for small businesses, to amend the </w:t>
      </w:r>
      <w:r>
        <w:rPr>
          <w:i/>
          <w:iCs/>
        </w:rPr>
        <w:t xml:space="preserve">Income Tax Act </w:t>
      </w:r>
      <w:r>
        <w:t>to incent advertising on Canadian media and (in footnote 8) to postpone the payment of income tax owing on or after 18 March to September 2020 indefinitely (see footnote 8).</w:t>
      </w:r>
    </w:p>
  </w:endnote>
  <w:endnote w:id="14">
    <w:p w14:paraId="59C4BF1B" w14:textId="77777777" w:rsidR="00A74C32" w:rsidRDefault="00A74C32" w:rsidP="0034122B">
      <w:pPr>
        <w:pStyle w:val="EndnoteText"/>
      </w:pPr>
      <w:r>
        <w:rPr>
          <w:rStyle w:val="EndnoteReference"/>
        </w:rPr>
        <w:endnoteRef/>
      </w:r>
      <w:r>
        <w:t xml:space="preserve"> </w:t>
      </w:r>
      <w:r>
        <w:tab/>
        <w:t>CAB, Part 1 Application, DM#3890215, at ¶15.</w:t>
      </w:r>
    </w:p>
  </w:endnote>
  <w:endnote w:id="15">
    <w:p w14:paraId="04E0DDF7" w14:textId="037E2453" w:rsidR="00A74C32" w:rsidRDefault="00A74C32" w:rsidP="00C34C4D">
      <w:pPr>
        <w:pStyle w:val="EndnoteText"/>
      </w:pPr>
      <w:r>
        <w:rPr>
          <w:rStyle w:val="EndnoteReference"/>
        </w:rPr>
        <w:endnoteRef/>
      </w:r>
      <w:r>
        <w:t xml:space="preserve"> </w:t>
      </w:r>
      <w:r>
        <w:tab/>
      </w:r>
      <w:r w:rsidRPr="000537A8">
        <w:rPr>
          <w:i/>
          <w:iCs/>
        </w:rPr>
        <w:t>Ibid</w:t>
      </w:r>
      <w:r>
        <w:t>., at ¶8.</w:t>
      </w:r>
    </w:p>
  </w:endnote>
  <w:endnote w:id="16">
    <w:p w14:paraId="56117139" w14:textId="58A6F21F" w:rsidR="00A74C32" w:rsidRDefault="00A74C32">
      <w:pPr>
        <w:pStyle w:val="EndnoteText"/>
      </w:pPr>
      <w:r>
        <w:rPr>
          <w:rStyle w:val="EndnoteReference"/>
        </w:rPr>
        <w:endnoteRef/>
      </w:r>
      <w:r>
        <w:t xml:space="preserve"> </w:t>
      </w:r>
      <w:r>
        <w:tab/>
      </w:r>
      <w:r w:rsidRPr="008C3693">
        <w:t xml:space="preserve">Communications Management Inc., “The crisis in Canadian media an the future of local broadcasting”, Prepared for the Canadian Association of Broadcasters, 24 August 2020, </w:t>
      </w:r>
      <w:hyperlink r:id="rId9" w:history="1">
        <w:r w:rsidRPr="008C3693">
          <w:rPr>
            <w:rStyle w:val="Hyperlink"/>
          </w:rPr>
          <w:t>https://www.cab-acr.ca/english/media/news/20/cmi_report_aug24.pdf</w:t>
        </w:r>
      </w:hyperlink>
      <w:r>
        <w:t>, at 31, Figure 17.</w:t>
      </w:r>
    </w:p>
  </w:endnote>
  <w:endnote w:id="17">
    <w:p w14:paraId="58A01F44" w14:textId="2536D446" w:rsidR="00A74C32" w:rsidRDefault="00A74C32">
      <w:pPr>
        <w:pStyle w:val="EndnoteText"/>
      </w:pPr>
      <w:r>
        <w:rPr>
          <w:rStyle w:val="EndnoteReference"/>
        </w:rPr>
        <w:endnoteRef/>
      </w:r>
      <w:r>
        <w:t xml:space="preserve"> </w:t>
      </w:r>
      <w:r>
        <w:tab/>
        <w:t>Some may speculate that today’s financial challenges will linger for many more years after this – but that speculation and the issue it raises (an ongoing structural crisis) is not before the CRTC in this application.</w:t>
      </w:r>
    </w:p>
  </w:endnote>
  <w:endnote w:id="18">
    <w:p w14:paraId="4585B354" w14:textId="77E1B218" w:rsidR="00A74C32" w:rsidRDefault="00A74C32">
      <w:pPr>
        <w:pStyle w:val="EndnoteText"/>
      </w:pPr>
      <w:r>
        <w:rPr>
          <w:rStyle w:val="EndnoteReference"/>
        </w:rPr>
        <w:endnoteRef/>
      </w:r>
      <w:r>
        <w:t xml:space="preserve"> </w:t>
      </w:r>
      <w:r>
        <w:tab/>
        <w:t>The Government of Canada announced that it would transfer funds to the CRTC.  Canada, “</w:t>
      </w:r>
      <w:r w:rsidRPr="00A967FA">
        <w:t>COVID-19: the Government of Canada Provides Relief to the Broadcasting Sector</w:t>
      </w:r>
      <w:r>
        <w:t xml:space="preserve">” (Gatineau, 30 March 2020), </w:t>
      </w:r>
      <w:hyperlink r:id="rId10" w:history="1">
        <w:r w:rsidRPr="00D9750C">
          <w:rPr>
            <w:rStyle w:val="Hyperlink"/>
          </w:rPr>
          <w:t>https://www.canada.ca/en/canadian-heritage/news/2020/03/covid-19-the-government-of-canada-provides-relief-to-the-broadcasting-sector.html</w:t>
        </w:r>
      </w:hyperlink>
      <w:r>
        <w:t xml:space="preserve">. </w:t>
      </w:r>
    </w:p>
  </w:endnote>
  <w:endnote w:id="19">
    <w:p w14:paraId="105FA041" w14:textId="77777777" w:rsidR="00A74C32" w:rsidRDefault="00A74C32" w:rsidP="00F83888">
      <w:pPr>
        <w:pStyle w:val="EndnoteText"/>
      </w:pPr>
      <w:r>
        <w:rPr>
          <w:rStyle w:val="EndnoteReference"/>
        </w:rPr>
        <w:endnoteRef/>
      </w:r>
      <w:r>
        <w:t xml:space="preserve"> </w:t>
      </w:r>
      <w:r>
        <w:tab/>
        <w:t>CAB, Part 1 Application, DM#3890215, at ¶1.</w:t>
      </w:r>
    </w:p>
  </w:endnote>
  <w:endnote w:id="20">
    <w:p w14:paraId="3F939908" w14:textId="1D6549A6" w:rsidR="00A74C32" w:rsidRDefault="00A74C32" w:rsidP="00F83888">
      <w:pPr>
        <w:pStyle w:val="EndnoteText"/>
      </w:pPr>
      <w:r>
        <w:rPr>
          <w:rStyle w:val="EndnoteReference"/>
        </w:rPr>
        <w:endnoteRef/>
      </w:r>
      <w:r>
        <w:t xml:space="preserve"> </w:t>
      </w:r>
      <w:r>
        <w:tab/>
      </w:r>
      <w:r w:rsidRPr="000537A8">
        <w:rPr>
          <w:i/>
          <w:iCs/>
        </w:rPr>
        <w:t>Ibid</w:t>
      </w:r>
      <w:r>
        <w:t>., at ¶18.</w:t>
      </w:r>
    </w:p>
  </w:endnote>
  <w:endnote w:id="21">
    <w:p w14:paraId="0274011B" w14:textId="77777777" w:rsidR="00A74C32" w:rsidRDefault="00A74C32" w:rsidP="00BA1F3B">
      <w:pPr>
        <w:pStyle w:val="EndnoteText"/>
      </w:pPr>
      <w:r>
        <w:rPr>
          <w:rStyle w:val="EndnoteReference"/>
        </w:rPr>
        <w:endnoteRef/>
      </w:r>
      <w:r>
        <w:t xml:space="preserve"> </w:t>
      </w:r>
      <w:r>
        <w:tab/>
        <w:t>S. 7:  “</w:t>
      </w:r>
      <w:r w:rsidRPr="003B6BF2">
        <w:t>If the Commission is of the opinion that considerations of public interest or fairness permit, it may dispense with or vary these Rules.</w:t>
      </w:r>
      <w:r>
        <w:t>”</w:t>
      </w:r>
    </w:p>
  </w:endnote>
  <w:endnote w:id="22">
    <w:p w14:paraId="375B2CB2" w14:textId="77777777" w:rsidR="00A74C32" w:rsidRDefault="00A74C32" w:rsidP="00BA1F3B">
      <w:pPr>
        <w:pStyle w:val="EndnoteText"/>
      </w:pPr>
      <w:r>
        <w:rPr>
          <w:rStyle w:val="EndnoteReference"/>
        </w:rPr>
        <w:endnoteRef/>
      </w:r>
      <w:r>
        <w:t xml:space="preserve"> </w:t>
      </w:r>
      <w:r>
        <w:tab/>
        <w:t>In 2013 the CRTC issued an information bulletin for expedited procedures in the context of CRTC-assisted dispute resolution – see Broadcasting and Telecom Information Bulletin 2013-637.</w:t>
      </w:r>
    </w:p>
    <w:p w14:paraId="3FCE71DF" w14:textId="77777777" w:rsidR="00A74C32" w:rsidRDefault="00A74C32" w:rsidP="00BA1F3B">
      <w:pPr>
        <w:pStyle w:val="EndnoteText"/>
      </w:pPr>
      <w:r>
        <w:t>The CRTC’s search engine lists 124 results for ‘expedited decisions’ over the 21 years from 1999 to 2 October 2020.</w:t>
      </w:r>
    </w:p>
  </w:endnote>
  <w:endnote w:id="23">
    <w:p w14:paraId="6489AD08" w14:textId="77777777" w:rsidR="00A74C32" w:rsidRDefault="00A74C32" w:rsidP="00BA1F3B">
      <w:pPr>
        <w:pStyle w:val="EndnoteText"/>
      </w:pPr>
      <w:r>
        <w:rPr>
          <w:rStyle w:val="EndnoteReference"/>
        </w:rPr>
        <w:endnoteRef/>
      </w:r>
      <w:r>
        <w:t xml:space="preserve"> </w:t>
      </w:r>
      <w:r>
        <w:tab/>
      </w:r>
      <w:r w:rsidRPr="00124C33">
        <w:rPr>
          <w:i/>
          <w:iCs/>
        </w:rPr>
        <w:t>Canadian Radio-television and Telecommunications Commission Rules of Practice and Procedure</w:t>
      </w:r>
      <w:r>
        <w:t xml:space="preserve">, SOR/2010-277, </w:t>
      </w:r>
      <w:hyperlink r:id="rId11" w:history="1">
        <w:r w:rsidRPr="00D9750C">
          <w:rPr>
            <w:rStyle w:val="Hyperlink"/>
          </w:rPr>
          <w:t>https://laws.justice.gc.ca/eng/regulations/SOR-2010-277/index.html</w:t>
        </w:r>
      </w:hyperlink>
      <w:r>
        <w:t>, s. 22(2):</w:t>
      </w:r>
    </w:p>
    <w:p w14:paraId="10BFF2B6" w14:textId="77777777" w:rsidR="00A74C32" w:rsidRPr="00D92760" w:rsidRDefault="00A74C32" w:rsidP="00BA1F3B">
      <w:pPr>
        <w:pStyle w:val="EndnoteText"/>
        <w:ind w:left="720"/>
        <w:jc w:val="both"/>
        <w:rPr>
          <w:sz w:val="18"/>
          <w:szCs w:val="18"/>
        </w:rPr>
      </w:pPr>
      <w:r w:rsidRPr="00D92760">
        <w:rPr>
          <w:sz w:val="18"/>
          <w:szCs w:val="18"/>
        </w:rPr>
        <w:t>An application must be made using the appropriate form listed in Broadcasting and Telecom Information Bulletin CRTC 2010-453, as amended from time to time. If none of the forms listed in the Bulletin is appropriate, the application must</w:t>
      </w:r>
    </w:p>
    <w:p w14:paraId="2ECEEBB0" w14:textId="77777777" w:rsidR="00A74C32" w:rsidRPr="00D92760" w:rsidRDefault="00A74C32" w:rsidP="00BA1F3B">
      <w:pPr>
        <w:pStyle w:val="EndnoteText"/>
        <w:ind w:left="720"/>
        <w:jc w:val="both"/>
        <w:rPr>
          <w:sz w:val="18"/>
          <w:szCs w:val="18"/>
        </w:rPr>
      </w:pPr>
      <w:r w:rsidRPr="00D92760">
        <w:rPr>
          <w:sz w:val="18"/>
          <w:szCs w:val="18"/>
        </w:rPr>
        <w:t>…</w:t>
      </w:r>
    </w:p>
    <w:p w14:paraId="533481EC" w14:textId="77777777" w:rsidR="00A74C32" w:rsidRPr="00D92760" w:rsidRDefault="00A74C32" w:rsidP="00BA1F3B">
      <w:pPr>
        <w:pStyle w:val="EndnoteText"/>
        <w:ind w:left="720"/>
        <w:jc w:val="both"/>
        <w:rPr>
          <w:sz w:val="18"/>
          <w:szCs w:val="18"/>
        </w:rPr>
      </w:pPr>
      <w:r w:rsidRPr="00D92760">
        <w:rPr>
          <w:sz w:val="18"/>
          <w:szCs w:val="18"/>
        </w:rPr>
        <w:t>(d) identify the statutory or regulatory provisions under which the application is made;</w:t>
      </w:r>
    </w:p>
    <w:p w14:paraId="20692369" w14:textId="77777777" w:rsidR="00A74C32" w:rsidRPr="00D92760" w:rsidRDefault="00A74C32" w:rsidP="00BA1F3B">
      <w:pPr>
        <w:pStyle w:val="EndnoteText"/>
        <w:ind w:left="720"/>
        <w:jc w:val="both"/>
        <w:rPr>
          <w:sz w:val="18"/>
          <w:szCs w:val="18"/>
        </w:rPr>
      </w:pPr>
      <w:r w:rsidRPr="00D92760">
        <w:rPr>
          <w:sz w:val="18"/>
          <w:szCs w:val="18"/>
        </w:rPr>
        <w:t>(e) contain a clear and concise statement of the relevant facts, of the grounds of the application and of the nature of the decision sought;</w:t>
      </w:r>
    </w:p>
    <w:p w14:paraId="7C804377" w14:textId="77777777" w:rsidR="00A74C32" w:rsidRPr="00D92760" w:rsidRDefault="00A74C32" w:rsidP="00BA1F3B">
      <w:pPr>
        <w:pStyle w:val="EndnoteText"/>
        <w:ind w:left="720"/>
        <w:jc w:val="both"/>
        <w:rPr>
          <w:sz w:val="18"/>
          <w:szCs w:val="18"/>
        </w:rPr>
      </w:pPr>
      <w:r w:rsidRPr="00D92760">
        <w:rPr>
          <w:sz w:val="18"/>
          <w:szCs w:val="18"/>
        </w:rPr>
        <w:t>(f) set out any amendments or additions to these Rules proposed by the applicant; and</w:t>
      </w:r>
    </w:p>
    <w:p w14:paraId="5FA921A4" w14:textId="77777777" w:rsidR="00A74C32" w:rsidRPr="00D92760" w:rsidRDefault="00A74C32" w:rsidP="00BA1F3B">
      <w:pPr>
        <w:pStyle w:val="EndnoteText"/>
        <w:ind w:left="720"/>
        <w:jc w:val="both"/>
        <w:rPr>
          <w:sz w:val="18"/>
          <w:szCs w:val="18"/>
        </w:rPr>
      </w:pPr>
      <w:r w:rsidRPr="00D92760">
        <w:rPr>
          <w:sz w:val="18"/>
          <w:szCs w:val="18"/>
        </w:rPr>
        <w:t>(g) include any other information that might inform the Commission as to the nature, purpose and scope of the application, and be accompanied by any supporting documents.</w:t>
      </w:r>
    </w:p>
  </w:endnote>
  <w:endnote w:id="24">
    <w:p w14:paraId="63C3E166" w14:textId="1574241F" w:rsidR="00A74C32" w:rsidRDefault="00A74C32">
      <w:pPr>
        <w:pStyle w:val="EndnoteText"/>
      </w:pPr>
      <w:r>
        <w:rPr>
          <w:rStyle w:val="EndnoteReference"/>
        </w:rPr>
        <w:endnoteRef/>
      </w:r>
      <w:r>
        <w:t xml:space="preserve"> </w:t>
      </w:r>
      <w:r>
        <w:tab/>
      </w:r>
      <w:r w:rsidRPr="000537A8">
        <w:rPr>
          <w:i/>
          <w:iCs/>
        </w:rPr>
        <w:t>Ibid</w:t>
      </w:r>
      <w:r>
        <w:t>., s. 26(2)(f).</w:t>
      </w:r>
    </w:p>
  </w:endnote>
  <w:endnote w:id="25">
    <w:p w14:paraId="5A91AEE7" w14:textId="0F3E14F2" w:rsidR="00A74C32" w:rsidRDefault="00A74C32">
      <w:pPr>
        <w:pStyle w:val="EndnoteText"/>
      </w:pPr>
      <w:r>
        <w:rPr>
          <w:rStyle w:val="EndnoteReference"/>
        </w:rPr>
        <w:endnoteRef/>
      </w:r>
      <w:r>
        <w:t xml:space="preserve"> </w:t>
      </w:r>
      <w:r>
        <w:tab/>
      </w:r>
      <w:bookmarkStart w:id="17" w:name="_Hlk54019953"/>
      <w:r w:rsidRPr="00D92760">
        <w:t xml:space="preserve">Communications Management Inc., “The crisis in Canadian media an the future of local broadcasting”, Prepared for the Canadian Association of Broadcasters, 24 August 2020, </w:t>
      </w:r>
      <w:hyperlink r:id="rId12" w:history="1">
        <w:r w:rsidRPr="00D92760">
          <w:rPr>
            <w:rStyle w:val="Hyperlink"/>
          </w:rPr>
          <w:t>https://www.cab-acr.ca/english/media/news/20/cmi_report_aug24.pdf</w:t>
        </w:r>
      </w:hyperlink>
      <w:r w:rsidRPr="00D92760">
        <w:t>.</w:t>
      </w:r>
      <w:bookmarkEnd w:id="17"/>
    </w:p>
  </w:endnote>
  <w:endnote w:id="26">
    <w:p w14:paraId="0DD7EA2B" w14:textId="77777777" w:rsidR="00A74C32" w:rsidRDefault="00A74C32" w:rsidP="004555A5">
      <w:pPr>
        <w:pStyle w:val="EndnoteText"/>
      </w:pPr>
      <w:r>
        <w:rPr>
          <w:rStyle w:val="EndnoteReference"/>
        </w:rPr>
        <w:endnoteRef/>
      </w:r>
      <w:r>
        <w:t xml:space="preserve"> </w:t>
      </w:r>
      <w:r>
        <w:tab/>
        <w:t>CAB, Part 1 Application, DM#3890215, at ¶7.</w:t>
      </w:r>
    </w:p>
  </w:endnote>
  <w:endnote w:id="27">
    <w:p w14:paraId="2F3F3602" w14:textId="7792D79F" w:rsidR="00A74C32" w:rsidRDefault="00A74C32" w:rsidP="004555A5">
      <w:pPr>
        <w:pStyle w:val="EndnoteText"/>
      </w:pPr>
      <w:r>
        <w:rPr>
          <w:rStyle w:val="EndnoteReference"/>
        </w:rPr>
        <w:endnoteRef/>
      </w:r>
      <w:r>
        <w:t xml:space="preserve"> </w:t>
      </w:r>
      <w:r>
        <w:tab/>
      </w:r>
      <w:r w:rsidRPr="000537A8">
        <w:rPr>
          <w:i/>
          <w:iCs/>
        </w:rPr>
        <w:t>Ibid</w:t>
      </w:r>
      <w:r>
        <w:t>., at ¶8.</w:t>
      </w:r>
    </w:p>
  </w:endnote>
  <w:endnote w:id="28">
    <w:p w14:paraId="5E74D37C" w14:textId="27F3C083" w:rsidR="00A74C32" w:rsidRDefault="00A74C32">
      <w:pPr>
        <w:pStyle w:val="EndnoteText"/>
      </w:pPr>
      <w:r>
        <w:rPr>
          <w:rStyle w:val="EndnoteReference"/>
        </w:rPr>
        <w:endnoteRef/>
      </w:r>
      <w:r>
        <w:t xml:space="preserve"> </w:t>
      </w:r>
      <w:r>
        <w:tab/>
      </w:r>
      <w:r w:rsidRPr="000537A8">
        <w:rPr>
          <w:i/>
          <w:iCs/>
        </w:rPr>
        <w:t>Ibid</w:t>
      </w:r>
      <w:r>
        <w:t>., at ¶64:  “… this application does  not request amendments to, or suspensions of conditions of licence….”</w:t>
      </w:r>
    </w:p>
  </w:endnote>
  <w:endnote w:id="29">
    <w:p w14:paraId="77A06D72" w14:textId="2AD2F76E" w:rsidR="00A74C32" w:rsidRDefault="00A74C32" w:rsidP="001D250C">
      <w:pPr>
        <w:pStyle w:val="EndnoteText"/>
      </w:pPr>
      <w:r>
        <w:rPr>
          <w:rStyle w:val="EndnoteReference"/>
        </w:rPr>
        <w:endnoteRef/>
      </w:r>
      <w:r>
        <w:t xml:space="preserve"> </w:t>
      </w:r>
      <w:r>
        <w:tab/>
      </w:r>
      <w:r w:rsidRPr="000537A8">
        <w:rPr>
          <w:i/>
          <w:iCs/>
        </w:rPr>
        <w:t>Ibid</w:t>
      </w:r>
      <w:r>
        <w:t>., at ¶19.</w:t>
      </w:r>
    </w:p>
  </w:endnote>
  <w:endnote w:id="30">
    <w:p w14:paraId="49499509" w14:textId="6E916D40" w:rsidR="00A74C32" w:rsidRDefault="00A74C32">
      <w:pPr>
        <w:pStyle w:val="EndnoteText"/>
      </w:pPr>
      <w:r>
        <w:rPr>
          <w:rStyle w:val="EndnoteReference"/>
        </w:rPr>
        <w:endnoteRef/>
      </w:r>
      <w:r>
        <w:t xml:space="preserve"> </w:t>
      </w:r>
      <w:r>
        <w:tab/>
      </w:r>
      <w:r w:rsidRPr="000537A8">
        <w:rPr>
          <w:i/>
          <w:iCs/>
        </w:rPr>
        <w:t>Ibid</w:t>
      </w:r>
      <w:r>
        <w:t xml:space="preserve">., at ¶64:  CAB’s application “… </w:t>
      </w:r>
      <w:r w:rsidRPr="009C362E">
        <w:t>proposes practices and policies for how the Commission should address inevitable, unavoidable, breaches of condition of licence or regulations that arise from COVID-19</w:t>
      </w:r>
      <w:r>
        <w:t>.”</w:t>
      </w:r>
    </w:p>
  </w:endnote>
  <w:endnote w:id="31">
    <w:p w14:paraId="47DB47EA" w14:textId="7F691D71" w:rsidR="00A74C32" w:rsidRDefault="00A74C32">
      <w:pPr>
        <w:pStyle w:val="EndnoteText"/>
      </w:pPr>
      <w:r>
        <w:rPr>
          <w:rStyle w:val="EndnoteReference"/>
        </w:rPr>
        <w:endnoteRef/>
      </w:r>
      <w:r>
        <w:t xml:space="preserve"> </w:t>
      </w:r>
      <w:r>
        <w:tab/>
      </w:r>
      <w:r w:rsidRPr="000537A8">
        <w:rPr>
          <w:i/>
          <w:iCs/>
        </w:rPr>
        <w:t>Ibid</w:t>
      </w:r>
      <w:r>
        <w:t>., at ¶65.</w:t>
      </w:r>
    </w:p>
  </w:endnote>
  <w:endnote w:id="32">
    <w:p w14:paraId="618928BC" w14:textId="5180D626" w:rsidR="00A74C32" w:rsidRDefault="00A74C32" w:rsidP="009C362E">
      <w:pPr>
        <w:pStyle w:val="EndnoteText"/>
      </w:pPr>
      <w:r>
        <w:rPr>
          <w:rStyle w:val="EndnoteReference"/>
        </w:rPr>
        <w:endnoteRef/>
      </w:r>
      <w:r>
        <w:t xml:space="preserve"> </w:t>
      </w:r>
      <w:r>
        <w:tab/>
      </w:r>
      <w:r w:rsidRPr="000537A8">
        <w:rPr>
          <w:i/>
          <w:iCs/>
        </w:rPr>
        <w:t>Ibid</w:t>
      </w:r>
      <w:r>
        <w:t>..</w:t>
      </w:r>
    </w:p>
  </w:endnote>
  <w:endnote w:id="33">
    <w:p w14:paraId="288EF9B9" w14:textId="31AB82FB" w:rsidR="00A74C32" w:rsidRDefault="00A74C32">
      <w:pPr>
        <w:pStyle w:val="EndnoteText"/>
      </w:pPr>
      <w:r>
        <w:rPr>
          <w:rStyle w:val="EndnoteReference"/>
        </w:rPr>
        <w:endnoteRef/>
      </w:r>
      <w:r>
        <w:t xml:space="preserve"> </w:t>
      </w:r>
      <w:r>
        <w:tab/>
      </w:r>
      <w:r w:rsidRPr="000537A8">
        <w:rPr>
          <w:i/>
          <w:iCs/>
        </w:rPr>
        <w:t>Ibid</w:t>
      </w:r>
      <w:r>
        <w:t>., at ¶66.</w:t>
      </w:r>
    </w:p>
  </w:endnote>
  <w:endnote w:id="34">
    <w:p w14:paraId="6A4DEDA4" w14:textId="28B4730E" w:rsidR="00A74C32" w:rsidRDefault="00A74C32">
      <w:pPr>
        <w:pStyle w:val="EndnoteText"/>
      </w:pPr>
      <w:r>
        <w:rPr>
          <w:rStyle w:val="EndnoteReference"/>
        </w:rPr>
        <w:endnoteRef/>
      </w:r>
      <w:r>
        <w:t xml:space="preserve"> </w:t>
      </w:r>
      <w:r>
        <w:tab/>
        <w:t>The CAB does not clarify the difference between necessary and unnecessary job losses.</w:t>
      </w:r>
    </w:p>
  </w:endnote>
  <w:endnote w:id="35">
    <w:p w14:paraId="59D8FA09" w14:textId="1EB90C2F" w:rsidR="00A74C32" w:rsidRPr="00ED4777" w:rsidRDefault="00A74C32">
      <w:pPr>
        <w:pStyle w:val="EndnoteText"/>
        <w:rPr>
          <w:i/>
          <w:iCs/>
        </w:rPr>
      </w:pPr>
      <w:r>
        <w:rPr>
          <w:rStyle w:val="EndnoteReference"/>
        </w:rPr>
        <w:endnoteRef/>
      </w:r>
      <w:r>
        <w:t xml:space="preserve"> </w:t>
      </w:r>
      <w:r>
        <w:tab/>
      </w:r>
      <w:r w:rsidRPr="00ED4777">
        <w:t>CAB, Part 1 Application, DM#3890215,</w:t>
      </w:r>
      <w:r>
        <w:t xml:space="preserve"> at ¶66.</w:t>
      </w:r>
    </w:p>
  </w:endnote>
  <w:endnote w:id="36">
    <w:p w14:paraId="6E6C3301" w14:textId="440CE71C" w:rsidR="00A74C32" w:rsidRDefault="00A74C32">
      <w:pPr>
        <w:pStyle w:val="EndnoteText"/>
      </w:pPr>
      <w:r>
        <w:rPr>
          <w:rStyle w:val="EndnoteReference"/>
        </w:rPr>
        <w:endnoteRef/>
      </w:r>
      <w:r>
        <w:t xml:space="preserve"> </w:t>
      </w:r>
      <w:r>
        <w:tab/>
      </w:r>
      <w:r w:rsidRPr="000537A8">
        <w:rPr>
          <w:i/>
          <w:iCs/>
        </w:rPr>
        <w:t>Ibid</w:t>
      </w:r>
      <w:r>
        <w:t>., at ¶50.</w:t>
      </w:r>
    </w:p>
  </w:endnote>
  <w:endnote w:id="37">
    <w:p w14:paraId="69312A1B" w14:textId="77777777" w:rsidR="00A74C32" w:rsidRDefault="00A74C32" w:rsidP="001D250C">
      <w:pPr>
        <w:pStyle w:val="EndnoteText"/>
      </w:pPr>
      <w:r>
        <w:rPr>
          <w:rStyle w:val="EndnoteReference"/>
        </w:rPr>
        <w:endnoteRef/>
      </w:r>
      <w:r>
        <w:t xml:space="preserve"> </w:t>
      </w:r>
      <w:r>
        <w:tab/>
        <w:t>Two radio stations:  CKOO-FM Kelowna and CHRF Montreal (Evanov).  Layoffs have been announced by Harvard, Cogeco and Stingray.  CAB, Part 1 Application, DM#3890215, at footnote 37.</w:t>
      </w:r>
    </w:p>
  </w:endnote>
  <w:endnote w:id="38">
    <w:p w14:paraId="57AFE301" w14:textId="5D7F99D3" w:rsidR="00A74C32" w:rsidRDefault="00A74C32">
      <w:pPr>
        <w:pStyle w:val="EndnoteText"/>
      </w:pPr>
      <w:r>
        <w:rPr>
          <w:rStyle w:val="EndnoteReference"/>
        </w:rPr>
        <w:endnoteRef/>
      </w:r>
      <w:r>
        <w:t xml:space="preserve"> </w:t>
      </w:r>
      <w:r>
        <w:tab/>
      </w:r>
      <w:bookmarkStart w:id="20" w:name="_Hlk53904431"/>
      <w:r>
        <w:t xml:space="preserve">Communications Management Inc., “The crisis in Canadian media an the future of local broadcasting”, Prepared for the Canadian Association of Broadcasters, 24 August 2020, </w:t>
      </w:r>
      <w:hyperlink r:id="rId13" w:history="1">
        <w:r w:rsidRPr="00D9750C">
          <w:rPr>
            <w:rStyle w:val="Hyperlink"/>
          </w:rPr>
          <w:t>https://www.cab-acr.ca/english/media/news/20/cmi_report_aug24.pdf</w:t>
        </w:r>
      </w:hyperlink>
      <w:r>
        <w:t xml:space="preserve">. </w:t>
      </w:r>
      <w:bookmarkEnd w:id="20"/>
    </w:p>
  </w:endnote>
  <w:endnote w:id="39">
    <w:p w14:paraId="7441C0B4" w14:textId="5FBDA486" w:rsidR="00A74C32" w:rsidRDefault="00A74C32">
      <w:pPr>
        <w:pStyle w:val="EndnoteText"/>
      </w:pPr>
      <w:r>
        <w:rPr>
          <w:rStyle w:val="EndnoteReference"/>
        </w:rPr>
        <w:endnoteRef/>
      </w:r>
      <w:r>
        <w:t xml:space="preserve"> </w:t>
      </w:r>
      <w:r>
        <w:tab/>
      </w:r>
      <w:r w:rsidRPr="000537A8">
        <w:rPr>
          <w:i/>
          <w:iCs/>
        </w:rPr>
        <w:t>Ibid</w:t>
      </w:r>
      <w:r>
        <w:t>., at v.</w:t>
      </w:r>
    </w:p>
  </w:endnote>
  <w:endnote w:id="40">
    <w:p w14:paraId="6F6C293F" w14:textId="5E7EAB36" w:rsidR="00A74C32" w:rsidRDefault="00A74C32">
      <w:pPr>
        <w:pStyle w:val="EndnoteText"/>
      </w:pPr>
      <w:r>
        <w:rPr>
          <w:rStyle w:val="EndnoteReference"/>
        </w:rPr>
        <w:endnoteRef/>
      </w:r>
      <w:r>
        <w:t xml:space="preserve"> </w:t>
      </w:r>
      <w:r>
        <w:tab/>
      </w:r>
      <w:r w:rsidRPr="000537A8">
        <w:rPr>
          <w:i/>
          <w:iCs/>
        </w:rPr>
        <w:t>Ibid</w:t>
      </w:r>
      <w:r>
        <w:t>., at vi.</w:t>
      </w:r>
    </w:p>
  </w:endnote>
  <w:endnote w:id="41">
    <w:p w14:paraId="0F1A6783" w14:textId="4961B799" w:rsidR="00A74C32" w:rsidRDefault="00A74C32">
      <w:pPr>
        <w:pStyle w:val="EndnoteText"/>
      </w:pPr>
      <w:r>
        <w:rPr>
          <w:rStyle w:val="EndnoteReference"/>
        </w:rPr>
        <w:endnoteRef/>
      </w:r>
      <w:r>
        <w:t xml:space="preserve"> </w:t>
      </w:r>
      <w:r>
        <w:tab/>
      </w:r>
      <w:r w:rsidRPr="000537A8">
        <w:rPr>
          <w:i/>
          <w:iCs/>
        </w:rPr>
        <w:t>Ibid</w:t>
      </w:r>
      <w:r>
        <w:t>.</w:t>
      </w:r>
    </w:p>
  </w:endnote>
  <w:endnote w:id="42">
    <w:p w14:paraId="0C5CB179" w14:textId="069E737A" w:rsidR="00A74C32" w:rsidRDefault="00A74C32">
      <w:pPr>
        <w:pStyle w:val="EndnoteText"/>
      </w:pPr>
      <w:r>
        <w:rPr>
          <w:rStyle w:val="EndnoteReference"/>
        </w:rPr>
        <w:endnoteRef/>
      </w:r>
      <w:r>
        <w:t xml:space="preserve"> </w:t>
      </w:r>
      <w:r>
        <w:tab/>
      </w:r>
      <w:r w:rsidRPr="000537A8">
        <w:rPr>
          <w:i/>
          <w:iCs/>
        </w:rPr>
        <w:t>Ibid</w:t>
      </w:r>
      <w:r>
        <w:t>., at vii.</w:t>
      </w:r>
    </w:p>
  </w:endnote>
  <w:endnote w:id="43">
    <w:p w14:paraId="42F03D89" w14:textId="77777777" w:rsidR="00A74C32" w:rsidRDefault="00A74C32" w:rsidP="00350412">
      <w:pPr>
        <w:pStyle w:val="EndnoteText"/>
      </w:pPr>
      <w:r>
        <w:rPr>
          <w:rStyle w:val="EndnoteReference"/>
        </w:rPr>
        <w:endnoteRef/>
      </w:r>
      <w:r>
        <w:t xml:space="preserve"> </w:t>
      </w:r>
      <w:r>
        <w:tab/>
        <w:t>In 1999 the CRTC determined that it would renew the television licences controlled by individual owners at the same time:</w:t>
      </w:r>
    </w:p>
    <w:p w14:paraId="15757E19" w14:textId="77777777" w:rsidR="00A74C32" w:rsidRPr="00DB1ECA" w:rsidRDefault="00A74C32" w:rsidP="00350412">
      <w:pPr>
        <w:pStyle w:val="EndnoteText"/>
        <w:ind w:left="720"/>
        <w:rPr>
          <w:sz w:val="18"/>
          <w:szCs w:val="18"/>
        </w:rPr>
      </w:pPr>
      <w:r w:rsidRPr="00DB1ECA">
        <w:rPr>
          <w:sz w:val="18"/>
          <w:szCs w:val="18"/>
        </w:rPr>
        <w:t>The renewal of all the conventional television licences held or controlled by a group will generally be considered by the Commission at the same time. A group will be defined as more than one conventional television station owned or controlled by the same person or entity. Commitments made by a group will be applied to the individual stations within the group as either conditions of licences or expectations. The Commission will take into account the other holdings of the group, such as a specialty service, but will not necessarily entertain the licence renewal of that service at the same time.</w:t>
      </w:r>
    </w:p>
    <w:p w14:paraId="577349F1" w14:textId="77777777" w:rsidR="00A74C32" w:rsidRDefault="00A74C32" w:rsidP="00350412">
      <w:pPr>
        <w:pStyle w:val="EndnoteText"/>
        <w:ind w:left="720"/>
      </w:pPr>
      <w:r w:rsidRPr="00DB1ECA">
        <w:rPr>
          <w:i/>
          <w:iCs/>
        </w:rPr>
        <w:t>BUILDING ON SUCCESS - A POLICY FRAMEWORK FOR CANADIAN TELEVISION</w:t>
      </w:r>
      <w:r>
        <w:t xml:space="preserve">, Public Notice CRTC 1999-97 (Ottawa, 11 June 1999), </w:t>
      </w:r>
      <w:hyperlink r:id="rId14" w:anchor="t5" w:history="1">
        <w:r w:rsidRPr="00D9750C">
          <w:rPr>
            <w:rStyle w:val="Hyperlink"/>
          </w:rPr>
          <w:t>https://crtc.gc.ca/eng/archive/1999/pb99-97.htm#t5</w:t>
        </w:r>
      </w:hyperlink>
      <w:r>
        <w:t>, at ¶10.</w:t>
      </w:r>
    </w:p>
    <w:p w14:paraId="7D8E7EC8" w14:textId="05574A46" w:rsidR="00A74C32" w:rsidRDefault="00A74C32" w:rsidP="00350412">
      <w:pPr>
        <w:pStyle w:val="EndnoteText"/>
      </w:pPr>
      <w:r>
        <w:tab/>
        <w:t xml:space="preserve">In 2010 the CRTC formalized its “group-based approach to the licensing of large … private television ownership groups.”  </w:t>
      </w:r>
      <w:r w:rsidRPr="00822E76">
        <w:rPr>
          <w:i/>
          <w:iCs/>
        </w:rPr>
        <w:t>A group-based approach to the licensing of private television services</w:t>
      </w:r>
      <w:r>
        <w:t xml:space="preserve">, Broadcasting Regulatory Policy CRTC 2010-167 (Ottawa, 22 March 2010), </w:t>
      </w:r>
      <w:hyperlink r:id="rId15" w:history="1">
        <w:r w:rsidRPr="00D9750C">
          <w:rPr>
            <w:rStyle w:val="Hyperlink"/>
          </w:rPr>
          <w:t>https://crtc.gc.ca/eng/archive/2010/2010-167.htm</w:t>
        </w:r>
      </w:hyperlink>
      <w:r>
        <w:t>:</w:t>
      </w:r>
    </w:p>
    <w:p w14:paraId="54ED6CA2" w14:textId="77777777" w:rsidR="00A74C32" w:rsidRPr="00ED4777" w:rsidRDefault="00A74C32" w:rsidP="00ED4777">
      <w:pPr>
        <w:pStyle w:val="EndnoteText"/>
        <w:ind w:left="720"/>
        <w:jc w:val="both"/>
        <w:rPr>
          <w:sz w:val="18"/>
          <w:szCs w:val="18"/>
        </w:rPr>
      </w:pPr>
      <w:r w:rsidRPr="00ED4777">
        <w:rPr>
          <w:sz w:val="18"/>
          <w:szCs w:val="18"/>
        </w:rPr>
        <w:t>41. The Commission must supervise and regulate the broadcasting system in order to fulfil the policy objectives of the Act. These include encouraging the development of Canadian expression; being readily adaptable to scientific and technological change; and ensuring that each element of the Canadian broadcasting system contributes in an appropriate manner to the creation and presentation of Canadian programming.</w:t>
      </w:r>
    </w:p>
    <w:p w14:paraId="05F41F31" w14:textId="77777777" w:rsidR="00A74C32" w:rsidRPr="00ED4777" w:rsidRDefault="00A74C32" w:rsidP="00ED4777">
      <w:pPr>
        <w:pStyle w:val="EndnoteText"/>
        <w:ind w:left="720"/>
        <w:jc w:val="both"/>
        <w:rPr>
          <w:sz w:val="18"/>
          <w:szCs w:val="18"/>
        </w:rPr>
      </w:pPr>
      <w:r w:rsidRPr="00ED4777">
        <w:rPr>
          <w:sz w:val="18"/>
          <w:szCs w:val="18"/>
        </w:rPr>
        <w:t>42. The Commission considers that these objectives, particularly the adaptability of the broadcasting system to change, are best met through a regulatory approach that recognizes the significant challenges to conventional television broadcasting and the stronger role that both regulated and unregulated, on-demand platforms are playing in providing Canadians with the television programming they need and want.</w:t>
      </w:r>
    </w:p>
    <w:p w14:paraId="73A4EA8F" w14:textId="1A8D142E" w:rsidR="00A74C32" w:rsidRPr="00ED4777" w:rsidRDefault="00A74C32" w:rsidP="00ED4777">
      <w:pPr>
        <w:pStyle w:val="EndnoteText"/>
        <w:ind w:left="720"/>
        <w:jc w:val="both"/>
        <w:rPr>
          <w:sz w:val="18"/>
          <w:szCs w:val="18"/>
        </w:rPr>
      </w:pPr>
      <w:r w:rsidRPr="00ED4777">
        <w:rPr>
          <w:sz w:val="18"/>
          <w:szCs w:val="18"/>
        </w:rPr>
        <w:t>…</w:t>
      </w:r>
    </w:p>
    <w:p w14:paraId="31C277F2" w14:textId="33312EB3" w:rsidR="00A74C32" w:rsidRPr="00ED4777" w:rsidRDefault="00A74C32" w:rsidP="00ED4777">
      <w:pPr>
        <w:pStyle w:val="EndnoteText"/>
        <w:ind w:left="720"/>
        <w:jc w:val="both"/>
        <w:rPr>
          <w:sz w:val="18"/>
          <w:szCs w:val="18"/>
        </w:rPr>
      </w:pPr>
      <w:r w:rsidRPr="00ED4777">
        <w:rPr>
          <w:sz w:val="18"/>
          <w:szCs w:val="18"/>
        </w:rPr>
        <w:t>44. The exclusivity of broadcasters' programming has eroded as a result of increased choice and increasing cost of foreign programming. This has resulted in a diminishing of the profits realized from the exhibition of popular foreign programming. The profitability of this programming has, in the past, provided conventional television broadcasters with the resources to spend on less profitable Canadian programming, such as programs of local reflection, local news, and especially high-quality scripted Canadian entertainment.</w:t>
      </w:r>
    </w:p>
    <w:p w14:paraId="32A3183E" w14:textId="77777777" w:rsidR="00A74C32" w:rsidRPr="00ED4777" w:rsidRDefault="00A74C32" w:rsidP="00ED4777">
      <w:pPr>
        <w:pStyle w:val="EndnoteText"/>
        <w:ind w:left="720"/>
        <w:jc w:val="both"/>
        <w:rPr>
          <w:sz w:val="18"/>
          <w:szCs w:val="18"/>
        </w:rPr>
      </w:pPr>
      <w:r w:rsidRPr="00ED4777">
        <w:rPr>
          <w:sz w:val="18"/>
          <w:szCs w:val="18"/>
        </w:rPr>
        <w:t xml:space="preserve">45. In the short and medium terms, because of their continued ability to attract mass audiences, conventional television broadcasters play a particularly important role in fulfilling the objectives of the Act. However, </w:t>
      </w:r>
      <w:r w:rsidRPr="00ED4777">
        <w:rPr>
          <w:b/>
          <w:bCs/>
          <w:sz w:val="18"/>
          <w:szCs w:val="18"/>
        </w:rPr>
        <w:t>in the longer term, as audiences continue to move to other platforms, this role may become less important. As a step in adapting the broadcasting system to the digital age, the Commission considers it appropriate to pursue a new approach regarding the requirements for the exhibition and creation of high-quality Canadian programming</w:t>
      </w:r>
      <w:r w:rsidRPr="00ED4777">
        <w:rPr>
          <w:sz w:val="18"/>
          <w:szCs w:val="18"/>
        </w:rPr>
        <w:t>.</w:t>
      </w:r>
    </w:p>
    <w:p w14:paraId="4E6ECB84" w14:textId="77777777" w:rsidR="00A74C32" w:rsidRPr="00ED4777" w:rsidRDefault="00A74C32" w:rsidP="00ED4777">
      <w:pPr>
        <w:pStyle w:val="EndnoteText"/>
        <w:ind w:left="720"/>
        <w:jc w:val="both"/>
        <w:rPr>
          <w:sz w:val="18"/>
          <w:szCs w:val="18"/>
        </w:rPr>
      </w:pPr>
      <w:r w:rsidRPr="00ED4777">
        <w:rPr>
          <w:sz w:val="18"/>
          <w:szCs w:val="18"/>
        </w:rPr>
        <w:t xml:space="preserve">46. </w:t>
      </w:r>
      <w:r w:rsidRPr="00ED4777">
        <w:rPr>
          <w:b/>
          <w:bCs/>
          <w:sz w:val="18"/>
          <w:szCs w:val="18"/>
        </w:rPr>
        <w:t>First, in order to ensure that the designated groups continue to contribute to the creation of Canadian programming, the Commission will establish a minimum, aggregate level of spending on Canadian programs for each designated group</w:t>
      </w:r>
      <w:r w:rsidRPr="00ED4777">
        <w:rPr>
          <w:sz w:val="18"/>
          <w:szCs w:val="18"/>
        </w:rPr>
        <w:t>.</w:t>
      </w:r>
    </w:p>
    <w:p w14:paraId="00C917DB" w14:textId="314BDCB6" w:rsidR="00A74C32" w:rsidRPr="00ED4777" w:rsidRDefault="00A74C32" w:rsidP="00ED4777">
      <w:pPr>
        <w:pStyle w:val="EndnoteText"/>
        <w:ind w:left="720"/>
        <w:jc w:val="both"/>
        <w:rPr>
          <w:sz w:val="18"/>
          <w:szCs w:val="18"/>
        </w:rPr>
      </w:pPr>
      <w:r w:rsidRPr="00ED4777">
        <w:rPr>
          <w:sz w:val="18"/>
          <w:szCs w:val="18"/>
        </w:rPr>
        <w:t xml:space="preserve">47. </w:t>
      </w:r>
      <w:r w:rsidRPr="00ED4777">
        <w:rPr>
          <w:b/>
          <w:bCs/>
          <w:sz w:val="18"/>
          <w:szCs w:val="18"/>
        </w:rPr>
        <w:t>Second, in order to permit the designated groups to adapt quickly to a changing environment, the Commission will provide them with the greatest possible flexibility so that they may allocate that</w:t>
      </w:r>
      <w:r w:rsidRPr="00F87252">
        <w:rPr>
          <w:b/>
          <w:bCs/>
        </w:rPr>
        <w:t xml:space="preserve"> </w:t>
      </w:r>
      <w:r w:rsidRPr="00ED4777">
        <w:rPr>
          <w:b/>
          <w:bCs/>
          <w:sz w:val="18"/>
          <w:szCs w:val="18"/>
        </w:rPr>
        <w:t>spending among their various licensed undertakings</w:t>
      </w:r>
      <w:r w:rsidRPr="00ED4777">
        <w:rPr>
          <w:sz w:val="18"/>
          <w:szCs w:val="18"/>
        </w:rPr>
        <w:t>. Since these ownership groups are not licensees of the Commission, this policy will be implemented through the imposition of conditions of licence on the relevant individual licensees controlled by the groups, as set out in detail below.</w:t>
      </w:r>
    </w:p>
    <w:p w14:paraId="465F0E34" w14:textId="320AF9FC" w:rsidR="00A74C32" w:rsidRPr="00ED4777" w:rsidRDefault="00A74C32" w:rsidP="00ED4777">
      <w:pPr>
        <w:pStyle w:val="EndnoteText"/>
        <w:ind w:left="720"/>
        <w:jc w:val="both"/>
        <w:rPr>
          <w:sz w:val="18"/>
          <w:szCs w:val="18"/>
        </w:rPr>
      </w:pPr>
      <w:r w:rsidRPr="00ED4777">
        <w:rPr>
          <w:sz w:val="18"/>
          <w:szCs w:val="18"/>
        </w:rPr>
        <w:t>…</w:t>
      </w:r>
    </w:p>
    <w:p w14:paraId="6A251528" w14:textId="04D22AE8" w:rsidR="00A74C32" w:rsidRDefault="00A74C32" w:rsidP="00F87252">
      <w:pPr>
        <w:pStyle w:val="EndnoteText"/>
        <w:ind w:left="720"/>
      </w:pPr>
      <w:r>
        <w:t>[bold font added]</w:t>
      </w:r>
    </w:p>
    <w:p w14:paraId="77C30732" w14:textId="7C9D6E39" w:rsidR="00A74C32" w:rsidRDefault="00A74C32" w:rsidP="00BA4118">
      <w:pPr>
        <w:pStyle w:val="EndnoteText"/>
      </w:pPr>
      <w:r>
        <w:t>In 2016 the CRTC commented that</w:t>
      </w:r>
    </w:p>
    <w:p w14:paraId="4FC78209" w14:textId="77777777" w:rsidR="00A74C32" w:rsidRPr="00ED4777" w:rsidRDefault="00A74C32" w:rsidP="00ED4777">
      <w:pPr>
        <w:pStyle w:val="EndnoteText"/>
        <w:ind w:left="720"/>
        <w:jc w:val="both"/>
        <w:rPr>
          <w:sz w:val="18"/>
          <w:szCs w:val="18"/>
        </w:rPr>
      </w:pPr>
      <w:r w:rsidRPr="00ED4777">
        <w:rPr>
          <w:sz w:val="18"/>
          <w:szCs w:val="18"/>
        </w:rPr>
        <w:t>…</w:t>
      </w:r>
    </w:p>
    <w:p w14:paraId="2607FCA5" w14:textId="33B57591" w:rsidR="00A74C32" w:rsidRPr="00ED4777" w:rsidRDefault="00A74C32" w:rsidP="00ED4777">
      <w:pPr>
        <w:pStyle w:val="EndnoteText"/>
        <w:ind w:left="720"/>
        <w:jc w:val="both"/>
        <w:rPr>
          <w:sz w:val="18"/>
          <w:szCs w:val="18"/>
        </w:rPr>
      </w:pPr>
      <w:r w:rsidRPr="00ED4777">
        <w:rPr>
          <w:sz w:val="18"/>
          <w:szCs w:val="18"/>
        </w:rPr>
        <w:t xml:space="preserve">14. </w:t>
      </w:r>
      <w:r w:rsidRPr="00ED4777">
        <w:rPr>
          <w:b/>
          <w:bCs/>
          <w:sz w:val="18"/>
          <w:szCs w:val="18"/>
        </w:rPr>
        <w:t>The group-based approach has permitted the large English- and French-language ownership groups that have used it to benefit from flexibility in allocating their resources while also ensuring support for Canadian programming</w:t>
      </w:r>
      <w:r w:rsidRPr="00ED4777">
        <w:rPr>
          <w:sz w:val="18"/>
          <w:szCs w:val="18"/>
        </w:rPr>
        <w:t>.</w:t>
      </w:r>
    </w:p>
    <w:p w14:paraId="3E9A8362" w14:textId="4CD727AD" w:rsidR="00A74C32" w:rsidRPr="00ED4777" w:rsidRDefault="00A74C32" w:rsidP="00ED4777">
      <w:pPr>
        <w:pStyle w:val="EndnoteText"/>
        <w:ind w:left="720"/>
        <w:jc w:val="both"/>
        <w:rPr>
          <w:sz w:val="18"/>
          <w:szCs w:val="18"/>
        </w:rPr>
      </w:pPr>
      <w:r w:rsidRPr="00ED4777">
        <w:rPr>
          <w:sz w:val="18"/>
          <w:szCs w:val="18"/>
        </w:rPr>
        <w:t>15. Overall, the English-language groups have taken advantage of the flexibility provided by the group-based approach to transfer the additional CPE from their conventional television stations to their specialty and pay services and, vice versa, to transfer their additional PNI expenditures from their specialty and pay services to their conventional television stations, in order to meet their group requirements.</w:t>
      </w:r>
    </w:p>
    <w:p w14:paraId="40EE63F7" w14:textId="77777777" w:rsidR="00A74C32" w:rsidRPr="00ED4777" w:rsidRDefault="00A74C32" w:rsidP="00ED4777">
      <w:pPr>
        <w:pStyle w:val="EndnoteText"/>
        <w:ind w:left="720"/>
        <w:jc w:val="both"/>
        <w:rPr>
          <w:sz w:val="18"/>
          <w:szCs w:val="18"/>
        </w:rPr>
      </w:pPr>
      <w:r w:rsidRPr="00ED4777">
        <w:rPr>
          <w:sz w:val="18"/>
          <w:szCs w:val="18"/>
        </w:rPr>
        <w:t>….</w:t>
      </w:r>
    </w:p>
    <w:p w14:paraId="18527EEB" w14:textId="30651CB4" w:rsidR="00A74C32" w:rsidRDefault="00A74C32" w:rsidP="00BA4118">
      <w:pPr>
        <w:pStyle w:val="EndnoteText"/>
      </w:pPr>
      <w:r>
        <w:t xml:space="preserve">Broadcasting Notice of Consultation CRTC 2016-225 (Ottawa, 15 June 2016), </w:t>
      </w:r>
      <w:hyperlink r:id="rId16" w:history="1">
        <w:r w:rsidRPr="000C7558">
          <w:rPr>
            <w:rStyle w:val="Hyperlink"/>
          </w:rPr>
          <w:t>https://crtc.gc.ca/eng/archive/2016/2016-225.htm</w:t>
        </w:r>
      </w:hyperlink>
      <w:r>
        <w:t>, bold font added.</w:t>
      </w:r>
    </w:p>
  </w:endnote>
  <w:endnote w:id="44">
    <w:p w14:paraId="2B214FB5" w14:textId="77777777" w:rsidR="00A74C32" w:rsidRDefault="00A74C32" w:rsidP="007641BC">
      <w:pPr>
        <w:pStyle w:val="EndnoteText"/>
      </w:pPr>
      <w:r>
        <w:rPr>
          <w:rStyle w:val="EndnoteReference"/>
        </w:rPr>
        <w:endnoteRef/>
      </w:r>
      <w:r>
        <w:t xml:space="preserve"> </w:t>
      </w:r>
      <w:r>
        <w:tab/>
        <w:t>The conventional television sector has 93 reporting units; if the top 5 groups control 69 of the stations, 24 units would remain.  Assuming that each station had a different owner (in fact, smaller ownership groups each own several television stations), there could be no more than 29 ownership groups.</w:t>
      </w:r>
    </w:p>
  </w:endnote>
  <w:endnote w:id="45">
    <w:p w14:paraId="6CC924DB" w14:textId="7D09C002" w:rsidR="00A74C32" w:rsidRDefault="00A74C32">
      <w:pPr>
        <w:pStyle w:val="EndnoteText"/>
      </w:pPr>
      <w:r>
        <w:rPr>
          <w:rStyle w:val="EndnoteReference"/>
        </w:rPr>
        <w:endnoteRef/>
      </w:r>
      <w:r>
        <w:t xml:space="preserve"> </w:t>
      </w:r>
      <w:r>
        <w:tab/>
      </w:r>
      <w:r>
        <w:rPr>
          <w:i/>
          <w:iCs/>
        </w:rPr>
        <w:t>Local Management Agreements</w:t>
      </w:r>
      <w:r>
        <w:t xml:space="preserve"> Public Notice CRTC 1999-176 (Ottawa, 1 November 1996), </w:t>
      </w:r>
      <w:r w:rsidRPr="00150831">
        <w:t>https://crtc.gc.ca/eng/archive/1999/pb99-176.htm</w:t>
      </w:r>
    </w:p>
  </w:endnote>
  <w:endnote w:id="46">
    <w:p w14:paraId="2C9C4CD1" w14:textId="77777777" w:rsidR="00A74C32" w:rsidRDefault="00A74C32" w:rsidP="00DF2E43">
      <w:pPr>
        <w:pStyle w:val="EndnoteText"/>
      </w:pPr>
      <w:r>
        <w:rPr>
          <w:rStyle w:val="EndnoteReference"/>
        </w:rPr>
        <w:endnoteRef/>
      </w:r>
      <w:r>
        <w:t xml:space="preserve"> </w:t>
      </w:r>
      <w:r>
        <w:tab/>
        <w:t>CAB, Part 1 Application, DM#3890215, at ¶56.</w:t>
      </w:r>
    </w:p>
  </w:endnote>
  <w:endnote w:id="47">
    <w:p w14:paraId="5F3BF207" w14:textId="7C17A3E1" w:rsidR="00A74C32" w:rsidRDefault="00A74C32">
      <w:pPr>
        <w:pStyle w:val="EndnoteText"/>
      </w:pPr>
      <w:r>
        <w:rPr>
          <w:rStyle w:val="EndnoteReference"/>
        </w:rPr>
        <w:endnoteRef/>
      </w:r>
      <w:r>
        <w:t xml:space="preserve"> </w:t>
      </w:r>
      <w:r>
        <w:tab/>
      </w:r>
      <w:r w:rsidRPr="000537A8">
        <w:rPr>
          <w:i/>
          <w:iCs/>
        </w:rPr>
        <w:t>Ibid</w:t>
      </w:r>
      <w:r>
        <w:t>., at ¶57 – 18 months effective July 31, 2020.</w:t>
      </w:r>
    </w:p>
  </w:endnote>
  <w:endnote w:id="48">
    <w:p w14:paraId="7F91178D" w14:textId="76BD212B" w:rsidR="00A74C32" w:rsidRDefault="00A74C32">
      <w:pPr>
        <w:pStyle w:val="EndnoteText"/>
      </w:pPr>
      <w:r>
        <w:rPr>
          <w:rStyle w:val="EndnoteReference"/>
        </w:rPr>
        <w:endnoteRef/>
      </w:r>
      <w:r>
        <w:t xml:space="preserve"> </w:t>
      </w:r>
      <w:r>
        <w:tab/>
      </w:r>
      <w:r w:rsidRPr="000537A8">
        <w:rPr>
          <w:i/>
          <w:iCs/>
        </w:rPr>
        <w:t>Ibid</w:t>
      </w:r>
      <w:r>
        <w:t>., at ¶53.</w:t>
      </w:r>
    </w:p>
  </w:endnote>
  <w:endnote w:id="49">
    <w:p w14:paraId="1B52F9A6" w14:textId="553A60D3" w:rsidR="00A74C32" w:rsidRDefault="00A74C32">
      <w:pPr>
        <w:pStyle w:val="EndnoteText"/>
      </w:pPr>
      <w:r>
        <w:rPr>
          <w:rStyle w:val="EndnoteReference"/>
        </w:rPr>
        <w:endnoteRef/>
      </w:r>
      <w:r>
        <w:t xml:space="preserve"> </w:t>
      </w:r>
      <w:r>
        <w:tab/>
      </w:r>
      <w:r w:rsidRPr="000537A8">
        <w:rPr>
          <w:i/>
          <w:iCs/>
        </w:rPr>
        <w:t>Ibid</w:t>
      </w:r>
      <w:r>
        <w:t>.</w:t>
      </w:r>
    </w:p>
  </w:endnote>
  <w:endnote w:id="50">
    <w:p w14:paraId="79BCB934" w14:textId="0F670AFC" w:rsidR="00A74C32" w:rsidRDefault="00A74C32">
      <w:pPr>
        <w:pStyle w:val="EndnoteText"/>
      </w:pPr>
      <w:r>
        <w:rPr>
          <w:rStyle w:val="EndnoteReference"/>
        </w:rPr>
        <w:endnoteRef/>
      </w:r>
      <w:r>
        <w:t xml:space="preserve"> </w:t>
      </w:r>
      <w:r>
        <w:tab/>
      </w:r>
      <w:r w:rsidRPr="000537A8">
        <w:rPr>
          <w:i/>
          <w:iCs/>
        </w:rPr>
        <w:t>Ibid</w:t>
      </w:r>
      <w:r>
        <w:t>., at ¶58.</w:t>
      </w:r>
    </w:p>
  </w:endnote>
  <w:endnote w:id="51">
    <w:p w14:paraId="4CE22B11" w14:textId="0438EE94" w:rsidR="00A74C32" w:rsidRDefault="00A74C32">
      <w:pPr>
        <w:pStyle w:val="EndnoteText"/>
      </w:pPr>
      <w:r>
        <w:rPr>
          <w:rStyle w:val="EndnoteReference"/>
        </w:rPr>
        <w:endnoteRef/>
      </w:r>
      <w:r>
        <w:t xml:space="preserve"> </w:t>
      </w:r>
      <w:r>
        <w:tab/>
      </w:r>
      <w:r w:rsidRPr="000537A8">
        <w:rPr>
          <w:i/>
          <w:iCs/>
        </w:rPr>
        <w:t>Ibid</w:t>
      </w:r>
      <w:r>
        <w:t>., at ¶52.</w:t>
      </w:r>
    </w:p>
  </w:endnote>
  <w:endnote w:id="52">
    <w:p w14:paraId="5E86F718" w14:textId="6B7BE630" w:rsidR="00A74C32" w:rsidRDefault="00A74C32">
      <w:pPr>
        <w:pStyle w:val="EndnoteText"/>
      </w:pPr>
      <w:r>
        <w:rPr>
          <w:rStyle w:val="EndnoteReference"/>
        </w:rPr>
        <w:endnoteRef/>
      </w:r>
      <w:r>
        <w:t xml:space="preserve"> </w:t>
      </w:r>
      <w:r>
        <w:tab/>
        <w:t>S. 32(2).</w:t>
      </w:r>
    </w:p>
  </w:endnote>
  <w:endnote w:id="53">
    <w:p w14:paraId="7DE745C6" w14:textId="77777777" w:rsidR="00A74C32" w:rsidRDefault="00A74C32" w:rsidP="00363F3D">
      <w:pPr>
        <w:pStyle w:val="EndnoteText"/>
      </w:pPr>
      <w:r>
        <w:rPr>
          <w:rStyle w:val="EndnoteReference"/>
        </w:rPr>
        <w:endnoteRef/>
      </w:r>
      <w:r>
        <w:t xml:space="preserve"> </w:t>
      </w:r>
      <w:r>
        <w:tab/>
        <w:t>CAB, Part 1 Application, DM#3890215, at 13:  “Leaving a cloud of regulatory uncertainty to hang over the industry will prove detrimental to all concerned.  The legal, operational and financial consequences of being deemed ‘non-compliant’ are unknown and potentially severe for licensees. ….”</w:t>
      </w:r>
    </w:p>
  </w:endnote>
  <w:endnote w:id="54">
    <w:p w14:paraId="1E294133" w14:textId="34E21508" w:rsidR="00A74C32" w:rsidRDefault="00A74C32" w:rsidP="001D250C">
      <w:pPr>
        <w:pStyle w:val="EndnoteText"/>
      </w:pPr>
      <w:r>
        <w:rPr>
          <w:rStyle w:val="EndnoteReference"/>
        </w:rPr>
        <w:endnoteRef/>
      </w:r>
      <w:r>
        <w:t xml:space="preserve"> </w:t>
      </w:r>
      <w:r>
        <w:tab/>
      </w:r>
      <w:r w:rsidRPr="000537A8">
        <w:rPr>
          <w:i/>
          <w:iCs/>
        </w:rPr>
        <w:t>Ibid</w:t>
      </w:r>
      <w:r>
        <w:t>., at ¶19.</w:t>
      </w:r>
    </w:p>
  </w:endnote>
  <w:endnote w:id="55">
    <w:p w14:paraId="2E727C79" w14:textId="6EEAEF72" w:rsidR="00A74C32" w:rsidRDefault="00A74C32">
      <w:pPr>
        <w:pStyle w:val="EndnoteText"/>
      </w:pPr>
      <w:r>
        <w:rPr>
          <w:rStyle w:val="EndnoteReference"/>
        </w:rPr>
        <w:endnoteRef/>
      </w:r>
      <w:r>
        <w:t xml:space="preserve"> </w:t>
      </w:r>
      <w:r>
        <w:tab/>
        <w:t xml:space="preserve">S. 9(1)(b)(i) of the </w:t>
      </w:r>
      <w:r w:rsidRPr="0088048C">
        <w:rPr>
          <w:i/>
          <w:iCs/>
        </w:rPr>
        <w:t>Broadcasting Act</w:t>
      </w:r>
      <w:r>
        <w:t xml:space="preserve">:  </w:t>
      </w:r>
    </w:p>
    <w:p w14:paraId="30F03934" w14:textId="5E19CD13" w:rsidR="00A74C32" w:rsidRPr="00ED4777" w:rsidRDefault="00A74C32" w:rsidP="00ED4777">
      <w:pPr>
        <w:pStyle w:val="EndnoteText"/>
        <w:ind w:left="720"/>
        <w:jc w:val="both"/>
        <w:rPr>
          <w:sz w:val="18"/>
          <w:szCs w:val="18"/>
        </w:rPr>
      </w:pPr>
      <w:r w:rsidRPr="00ED4777">
        <w:rPr>
          <w:sz w:val="18"/>
          <w:szCs w:val="18"/>
        </w:rPr>
        <w:t>Subject to this Part, the Commission may, in furtherance of its objects,</w:t>
      </w:r>
    </w:p>
    <w:p w14:paraId="4C1A3043" w14:textId="1BF83D55" w:rsidR="00A74C32" w:rsidRPr="00ED4777" w:rsidRDefault="00A74C32" w:rsidP="00ED4777">
      <w:pPr>
        <w:pStyle w:val="EndnoteText"/>
        <w:ind w:left="720"/>
        <w:jc w:val="both"/>
        <w:rPr>
          <w:sz w:val="18"/>
          <w:szCs w:val="18"/>
        </w:rPr>
      </w:pPr>
      <w:r w:rsidRPr="00ED4777">
        <w:rPr>
          <w:sz w:val="18"/>
          <w:szCs w:val="18"/>
        </w:rPr>
        <w:t>…</w:t>
      </w:r>
    </w:p>
    <w:p w14:paraId="23BA620B" w14:textId="77777777" w:rsidR="00A74C32" w:rsidRPr="00ED4777" w:rsidRDefault="00A74C32" w:rsidP="00ED4777">
      <w:pPr>
        <w:pStyle w:val="EndnoteText"/>
        <w:ind w:left="720"/>
        <w:jc w:val="both"/>
        <w:rPr>
          <w:sz w:val="18"/>
          <w:szCs w:val="18"/>
        </w:rPr>
      </w:pPr>
      <w:r w:rsidRPr="00ED4777">
        <w:rPr>
          <w:sz w:val="18"/>
          <w:szCs w:val="18"/>
        </w:rPr>
        <w:t>(b) issue licences for such terms not exceeding seven years and subject to such conditions related to the circumstances of the licensee</w:t>
      </w:r>
    </w:p>
    <w:p w14:paraId="59A859BE" w14:textId="5575CC25" w:rsidR="00A74C32" w:rsidRPr="00ED4777" w:rsidRDefault="00A74C32" w:rsidP="00ED4777">
      <w:pPr>
        <w:pStyle w:val="EndnoteText"/>
        <w:ind w:left="720"/>
        <w:jc w:val="both"/>
        <w:rPr>
          <w:sz w:val="18"/>
          <w:szCs w:val="18"/>
        </w:rPr>
      </w:pPr>
      <w:r w:rsidRPr="00ED4777">
        <w:rPr>
          <w:sz w:val="18"/>
          <w:szCs w:val="18"/>
        </w:rPr>
        <w:t>(i) as the Commission deems appropriate for the implementation of the broadcasting policy set out in subsection 3(1) ….</w:t>
      </w:r>
    </w:p>
  </w:endnote>
  <w:endnote w:id="56">
    <w:p w14:paraId="3F1518C8" w14:textId="77777777" w:rsidR="00A74C32" w:rsidRDefault="00A74C32" w:rsidP="00794778">
      <w:pPr>
        <w:pStyle w:val="EndnoteText"/>
      </w:pPr>
      <w:r>
        <w:rPr>
          <w:rStyle w:val="EndnoteReference"/>
        </w:rPr>
        <w:endnoteRef/>
      </w:r>
      <w:r>
        <w:t xml:space="preserve"> </w:t>
      </w:r>
      <w:r>
        <w:tab/>
      </w:r>
      <w:r w:rsidRPr="00AA0546">
        <w:rPr>
          <w:i/>
          <w:iCs/>
        </w:rPr>
        <w:t>Television services that form part of the Corus group of services – Licence amendments</w:t>
      </w:r>
      <w:r>
        <w:t xml:space="preserve">, Broadcasting Decision CRTC 2020-220 (Ottawa, 10 July 2020), </w:t>
      </w:r>
      <w:hyperlink r:id="rId17" w:history="1">
        <w:r w:rsidRPr="00D9750C">
          <w:rPr>
            <w:rStyle w:val="Hyperlink"/>
          </w:rPr>
          <w:t>https://crtc.gc.ca/eng/archive/2020/2020-214.htm</w:t>
        </w:r>
      </w:hyperlink>
      <w:r>
        <w:t>:</w:t>
      </w:r>
    </w:p>
    <w:p w14:paraId="27647AE9" w14:textId="77777777" w:rsidR="00A74C32" w:rsidRPr="00DB1ECA" w:rsidRDefault="00A74C32" w:rsidP="00DB1ECA">
      <w:pPr>
        <w:pStyle w:val="EndnoteText"/>
        <w:ind w:left="720"/>
        <w:jc w:val="both"/>
        <w:rPr>
          <w:sz w:val="18"/>
          <w:szCs w:val="18"/>
        </w:rPr>
      </w:pPr>
      <w:r w:rsidRPr="00DB1ECA">
        <w:rPr>
          <w:sz w:val="18"/>
          <w:szCs w:val="18"/>
        </w:rPr>
        <w:t>24. In the Commission’s view, this could force Corus to spend significantly in the final year of the licence term in order to adhere to its CPE obligations, particularly given that, as stated by Corus, only a portion of the additional cash expenditures would count as eligible CPE in the first year of the broadcast of content. Consequently, the Commission determines that granting both a 10% underspend flexibility and the ability for Corus to make up cumulative underspending by the end of the licence term, as sought by Corus, would make the potential for volatility in regard to its CPE requirements more significant.</w:t>
      </w:r>
    </w:p>
  </w:endnote>
  <w:endnote w:id="57">
    <w:p w14:paraId="60A40107" w14:textId="36DACA7D" w:rsidR="00A74C32" w:rsidRDefault="00A74C32">
      <w:pPr>
        <w:pStyle w:val="EndnoteText"/>
      </w:pPr>
      <w:r>
        <w:rPr>
          <w:rStyle w:val="EndnoteReference"/>
        </w:rPr>
        <w:endnoteRef/>
      </w:r>
      <w:r>
        <w:t xml:space="preserve"> </w:t>
      </w:r>
      <w:r>
        <w:tab/>
        <w:t>CAB, Part 1 Application, DM#3890215, at ¶¶29-38.</w:t>
      </w:r>
    </w:p>
  </w:endnote>
  <w:endnote w:id="58">
    <w:p w14:paraId="7F01BC66" w14:textId="7C34539D" w:rsidR="00A74C32" w:rsidRDefault="00A74C32" w:rsidP="00DF4B5C">
      <w:pPr>
        <w:pStyle w:val="EndnoteText"/>
      </w:pPr>
      <w:r>
        <w:rPr>
          <w:rStyle w:val="EndnoteReference"/>
        </w:rPr>
        <w:endnoteRef/>
      </w:r>
      <w:r>
        <w:t xml:space="preserve"> </w:t>
      </w:r>
      <w:r>
        <w:tab/>
        <w:t xml:space="preserve">See </w:t>
      </w:r>
      <w:r w:rsidRPr="00DB1ECA">
        <w:rPr>
          <w:i/>
          <w:iCs/>
        </w:rPr>
        <w:t xml:space="preserve">e.g. </w:t>
      </w:r>
      <w:r>
        <w:t xml:space="preserve">ML Auer, “The CRTC’s Enforcement of Canada’s Broadcasting Legislation:  ‘Concern’, ‘Serious Concern’, and ‘Grave Concern’”, </w:t>
      </w:r>
      <w:r w:rsidRPr="001F1482">
        <w:rPr>
          <w:i/>
          <w:iCs/>
        </w:rPr>
        <w:t>Canadian J</w:t>
      </w:r>
      <w:r>
        <w:rPr>
          <w:i/>
          <w:iCs/>
        </w:rPr>
        <w:t>ournal</w:t>
      </w:r>
      <w:r w:rsidRPr="001F1482">
        <w:rPr>
          <w:i/>
          <w:iCs/>
        </w:rPr>
        <w:t xml:space="preserve"> of Law and Technology</w:t>
      </w:r>
      <w:r>
        <w:t xml:space="preserve">, 5:3 (2006), </w:t>
      </w:r>
      <w:hyperlink r:id="rId18" w:history="1">
        <w:r w:rsidRPr="00D9750C">
          <w:rPr>
            <w:rStyle w:val="Hyperlink"/>
          </w:rPr>
          <w:t>https://ojs.library.dal.ca/CJLT/article/view/6051/5378</w:t>
        </w:r>
      </w:hyperlink>
      <w:r>
        <w:t>, 115-161.</w:t>
      </w:r>
    </w:p>
  </w:endnote>
  <w:endnote w:id="59">
    <w:p w14:paraId="4D0503D5" w14:textId="758BD832" w:rsidR="00A74C32" w:rsidRDefault="00A74C32">
      <w:pPr>
        <w:pStyle w:val="EndnoteText"/>
      </w:pPr>
      <w:r>
        <w:rPr>
          <w:rStyle w:val="EndnoteReference"/>
        </w:rPr>
        <w:endnoteRef/>
      </w:r>
      <w:r>
        <w:t xml:space="preserve"> </w:t>
      </w:r>
      <w:r>
        <w:tab/>
      </w:r>
      <w:r w:rsidRPr="00ED4777">
        <w:rPr>
          <w:i/>
          <w:iCs/>
        </w:rPr>
        <w:t>Policy framework for local and community television</w:t>
      </w:r>
      <w:r>
        <w:t xml:space="preserve">, Broadcasting Regulatory Policy CRTC 2016-224 (Ottawa, 15 June 2016), </w:t>
      </w:r>
      <w:hyperlink r:id="rId19" w:history="1">
        <w:r w:rsidRPr="00D9750C">
          <w:rPr>
            <w:rStyle w:val="Hyperlink"/>
          </w:rPr>
          <w:t>https://crtc.gc.ca/eng/archive/2016/2016-224.htm</w:t>
        </w:r>
      </w:hyperlink>
      <w:r>
        <w:t>, at ¶32.</w:t>
      </w:r>
    </w:p>
  </w:endnote>
  <w:endnote w:id="60">
    <w:p w14:paraId="1BFC44D2" w14:textId="77777777" w:rsidR="00A74C32" w:rsidRDefault="00A74C32" w:rsidP="00E61B95">
      <w:pPr>
        <w:pStyle w:val="EndnoteText"/>
      </w:pPr>
      <w:r>
        <w:rPr>
          <w:rStyle w:val="EndnoteReference"/>
        </w:rPr>
        <w:endnoteRef/>
      </w:r>
      <w:r>
        <w:t xml:space="preserve"> </w:t>
      </w:r>
      <w:r>
        <w:tab/>
      </w:r>
      <w:hyperlink r:id="rId20" w:history="1">
        <w:r w:rsidRPr="00D9750C">
          <w:rPr>
            <w:rStyle w:val="Hyperlink"/>
          </w:rPr>
          <w:t>https://crtc.gc.ca/eng/archive/2006/pb2006-158.htm</w:t>
        </w:r>
      </w:hyperlink>
      <w:r>
        <w:t>, at ¶182.</w:t>
      </w:r>
    </w:p>
  </w:endnote>
  <w:endnote w:id="61">
    <w:p w14:paraId="37E8E622" w14:textId="77777777" w:rsidR="00A74C32" w:rsidRDefault="00A74C32" w:rsidP="00E61B95">
      <w:pPr>
        <w:pStyle w:val="EndnoteText"/>
      </w:pPr>
      <w:r>
        <w:rPr>
          <w:rStyle w:val="EndnoteReference"/>
        </w:rPr>
        <w:endnoteRef/>
      </w:r>
      <w:r>
        <w:t xml:space="preserve"> </w:t>
      </w:r>
      <w:r>
        <w:tab/>
      </w:r>
      <w:r w:rsidRPr="000537A8">
        <w:rPr>
          <w:i/>
          <w:iCs/>
        </w:rPr>
        <w:t>Ibid</w:t>
      </w:r>
      <w:r>
        <w:t>., at ¶184.</w:t>
      </w:r>
    </w:p>
  </w:endnote>
  <w:endnote w:id="62">
    <w:p w14:paraId="1257BF9F" w14:textId="77777777" w:rsidR="00A74C32" w:rsidRDefault="00A74C32" w:rsidP="00CE0355">
      <w:pPr>
        <w:pStyle w:val="EndnoteText"/>
        <w:jc w:val="both"/>
      </w:pPr>
      <w:r>
        <w:rPr>
          <w:rStyle w:val="EndnoteReference"/>
        </w:rPr>
        <w:endnoteRef/>
      </w:r>
      <w:r>
        <w:t xml:space="preserve"> </w:t>
      </w:r>
      <w:r>
        <w:tab/>
        <w:t>During the 2015 ‘Let’s Talk TV’ proceedings, for instance, “</w:t>
      </w:r>
      <w:r w:rsidRPr="001F7E37">
        <w:t>Canadians who participated in the online discussion forum for this proceeding emphasized that local programming, particularly local news, is of great importance to them. The majority appeared satisfied with the quantity and quality of television news. However, some stated that large broadcasting ownership groups provide insufficient local news, especially in the regions.</w:t>
      </w:r>
      <w:r>
        <w:t xml:space="preserve">”  </w:t>
      </w:r>
      <w:hyperlink r:id="rId21" w:history="1">
        <w:r w:rsidRPr="00D9750C">
          <w:rPr>
            <w:rStyle w:val="Hyperlink"/>
          </w:rPr>
          <w:t>https://crtc.gc.ca/eng/archive/2016/2016-224.htm</w:t>
        </w:r>
      </w:hyperlink>
      <w:r>
        <w:t>, at ¶12.  The CRTC then also said,</w:t>
      </w:r>
    </w:p>
    <w:p w14:paraId="4B5EF600" w14:textId="77777777" w:rsidR="00A74C32" w:rsidRPr="00DB1ECA" w:rsidRDefault="00A74C32" w:rsidP="00CE0355">
      <w:pPr>
        <w:pStyle w:val="EndnoteText"/>
        <w:ind w:left="720"/>
        <w:jc w:val="both"/>
        <w:rPr>
          <w:sz w:val="18"/>
          <w:szCs w:val="18"/>
        </w:rPr>
      </w:pPr>
      <w:r w:rsidRPr="00DB1ECA">
        <w:rPr>
          <w:sz w:val="18"/>
          <w:szCs w:val="18"/>
        </w:rPr>
        <w:t>17. A vibrant and dynamic news ecosystem is one of the cornerstones of any democracy, since it permits citizens to remain informed of matters of public concern and thus enables their participation in the democratic system. Television news, especially at the local level, is an important source for the gathering and production of locally relevant and reflective news.</w:t>
      </w:r>
    </w:p>
    <w:p w14:paraId="15104388" w14:textId="77777777" w:rsidR="00A74C32" w:rsidRPr="00DB1ECA" w:rsidRDefault="00A74C32" w:rsidP="00CE0355">
      <w:pPr>
        <w:pStyle w:val="EndnoteText"/>
        <w:ind w:left="720"/>
        <w:jc w:val="both"/>
        <w:rPr>
          <w:sz w:val="18"/>
          <w:szCs w:val="18"/>
        </w:rPr>
      </w:pPr>
      <w:r w:rsidRPr="00DB1ECA">
        <w:rPr>
          <w:sz w:val="18"/>
          <w:szCs w:val="18"/>
        </w:rPr>
        <w:t>18. Licensees have a duty to serve the public interest in return for using the public airwaves and the privilege of holding a licence. In the case of conventional television stations, privileges such as distribution on the basic service, the right to broadcast local advertising and simultaneous substitution go hand in hand with the responsibility to provide local programming. Further, given that a vibrant, free and responsible news ecosystem is a public good, licensees must ensure that the news and analysis they broadcast meets a high standard, particularly at the local level.</w:t>
      </w:r>
    </w:p>
    <w:p w14:paraId="2BFB709B" w14:textId="77777777" w:rsidR="00A74C32" w:rsidRPr="00DB1ECA" w:rsidRDefault="00A74C32" w:rsidP="00CE0355">
      <w:pPr>
        <w:pStyle w:val="EndnoteText"/>
        <w:ind w:left="720"/>
        <w:jc w:val="both"/>
        <w:rPr>
          <w:sz w:val="18"/>
          <w:szCs w:val="18"/>
        </w:rPr>
      </w:pPr>
      <w:r w:rsidRPr="00DB1ECA">
        <w:rPr>
          <w:sz w:val="18"/>
          <w:szCs w:val="18"/>
        </w:rPr>
        <w:t>19. In the Working Document, the Commission also reminded large, vertically integrated (VI) ownership groups, which operate both programming and distribution undertakings, that Canadians should be able to reap the full benefits of their consolidation. Specifically, when the Commission approved the applications that led to their consolidation, it was to create entities with the critical mass to ensure the production and promotion of diverse and high-quality Canadian programming and its distribution through traditional and digital media.</w:t>
      </w:r>
    </w:p>
  </w:endnote>
  <w:endnote w:id="63">
    <w:p w14:paraId="0B887281" w14:textId="77777777" w:rsidR="00A74C32" w:rsidRDefault="00A74C32" w:rsidP="00363F3D">
      <w:pPr>
        <w:pStyle w:val="EndnoteText"/>
      </w:pPr>
      <w:r>
        <w:rPr>
          <w:rStyle w:val="EndnoteReference"/>
        </w:rPr>
        <w:endnoteRef/>
      </w:r>
      <w:r>
        <w:t xml:space="preserve"> </w:t>
      </w:r>
      <w:r>
        <w:tab/>
        <w:t>CAB, Part 1 Application, DM#3890215, at, ¶28.</w:t>
      </w:r>
    </w:p>
  </w:endnote>
  <w:endnote w:id="64">
    <w:p w14:paraId="6DFE833A" w14:textId="0627C186" w:rsidR="00A74C32" w:rsidRDefault="00A74C32">
      <w:pPr>
        <w:pStyle w:val="EndnoteText"/>
      </w:pPr>
      <w:r>
        <w:rPr>
          <w:rStyle w:val="EndnoteReference"/>
        </w:rPr>
        <w:endnoteRef/>
      </w:r>
      <w:r>
        <w:t xml:space="preserve"> </w:t>
      </w:r>
      <w:r>
        <w:tab/>
        <w:t xml:space="preserve">FRPC, </w:t>
      </w:r>
      <w:r>
        <w:rPr>
          <w:i/>
          <w:iCs/>
        </w:rPr>
        <w:t>Putting the ‘local’ back into local TV</w:t>
      </w:r>
      <w:r>
        <w:t xml:space="preserve">, (Ottawa, 6 November 2015), </w:t>
      </w:r>
      <w:hyperlink r:id="rId22" w:history="1">
        <w:r w:rsidRPr="00D9750C">
          <w:rPr>
            <w:rStyle w:val="Hyperlink"/>
          </w:rPr>
          <w:t>https://frpc.net/wp-content/uploads/2015/11/FRPC-2015-421-6-Nov-2015-comments.pdf</w:t>
        </w:r>
      </w:hyperlink>
      <w:r>
        <w:t xml:space="preserve"> at ¶¶82-86.</w:t>
      </w:r>
    </w:p>
  </w:endnote>
  <w:endnote w:id="65">
    <w:p w14:paraId="3F8D17F3" w14:textId="7A22772D" w:rsidR="00A74C32" w:rsidRDefault="00A74C32">
      <w:pPr>
        <w:pStyle w:val="EndnoteText"/>
      </w:pPr>
      <w:r>
        <w:rPr>
          <w:rStyle w:val="EndnoteReference"/>
        </w:rPr>
        <w:endnoteRef/>
      </w:r>
      <w:r>
        <w:t xml:space="preserve"> </w:t>
      </w:r>
      <w:r>
        <w:tab/>
        <w:t xml:space="preserve">FRPC, </w:t>
      </w:r>
      <w:r>
        <w:rPr>
          <w:i/>
          <w:iCs/>
        </w:rPr>
        <w:t xml:space="preserve">Renewing the licences of Canada’s largest private broadcasters to strengthen Canada’s television system </w:t>
      </w:r>
      <w:r>
        <w:t xml:space="preserve">, (Ottawa, 15 August 2016), </w:t>
      </w:r>
      <w:hyperlink r:id="rId23" w:history="1">
        <w:r w:rsidRPr="00D9750C">
          <w:rPr>
            <w:rStyle w:val="Hyperlink"/>
          </w:rPr>
          <w:t>https://frpc.net/wp-content/uploads/2016/10/FRPC-2016-225-15-Aug-2016-comment.pdf</w:t>
        </w:r>
      </w:hyperlink>
      <w:r>
        <w:t>, Appendix 3 (TV stations and news bureaux, 2015:  A summary of available evidence”:  at this time CJCB-TV Sydney simulcast the local news of CJCH-DT Halifax; CJBN TV Kenora simulcast the news of CKND TV Winnipeg and of Thunder Bay Television, and CIPA-TV Prince Albert simulcast the newscast of CFQC-DT Saskatoon.</w:t>
      </w:r>
    </w:p>
  </w:endnote>
  <w:endnote w:id="66">
    <w:p w14:paraId="1E927C15" w14:textId="708A0792" w:rsidR="00A74C32" w:rsidRDefault="00A74C32">
      <w:pPr>
        <w:pStyle w:val="EndnoteText"/>
      </w:pPr>
      <w:r>
        <w:rPr>
          <w:rStyle w:val="EndnoteReference"/>
        </w:rPr>
        <w:endnoteRef/>
      </w:r>
      <w:r>
        <w:t xml:space="preserve"> </w:t>
      </w:r>
      <w:r>
        <w:tab/>
        <w:t>CAB, Part 1 Application, DM#3890215, at footnote 7.</w:t>
      </w:r>
    </w:p>
  </w:endnote>
  <w:endnote w:id="67">
    <w:p w14:paraId="3F4EDA23" w14:textId="2C7147C2" w:rsidR="00A74C32" w:rsidRDefault="00A74C32">
      <w:pPr>
        <w:pStyle w:val="EndnoteText"/>
      </w:pPr>
      <w:r>
        <w:rPr>
          <w:rStyle w:val="EndnoteReference"/>
        </w:rPr>
        <w:endnoteRef/>
      </w:r>
      <w:r>
        <w:t xml:space="preserve"> </w:t>
      </w:r>
      <w:r>
        <w:tab/>
        <w:t xml:space="preserve">By which we mean that local radio stations would provide local radio programming, and local television stations would provide local television programming (not that television stations would claim radio programming as television content, or </w:t>
      </w:r>
      <w:r w:rsidRPr="00E822A7">
        <w:rPr>
          <w:i/>
          <w:iCs/>
        </w:rPr>
        <w:t>vice versa</w:t>
      </w:r>
      <w:r>
        <w:t>).</w:t>
      </w:r>
    </w:p>
  </w:endnote>
  <w:endnote w:id="68">
    <w:p w14:paraId="5B9C17EE" w14:textId="77777777" w:rsidR="00A74C32" w:rsidRDefault="00A74C32" w:rsidP="005C5D27">
      <w:pPr>
        <w:pStyle w:val="EndnoteText"/>
      </w:pPr>
      <w:r>
        <w:rPr>
          <w:rStyle w:val="EndnoteReference"/>
        </w:rPr>
        <w:endnoteRef/>
      </w:r>
      <w:r>
        <w:t xml:space="preserve"> </w:t>
      </w:r>
      <w:r>
        <w:tab/>
        <w:t>CAB, Part 1 Application, DM#3890215, at ¶¶45-47.</w:t>
      </w:r>
    </w:p>
  </w:endnote>
  <w:endnote w:id="69">
    <w:p w14:paraId="5C564549" w14:textId="462B05DE" w:rsidR="00A74C32" w:rsidRDefault="00A74C32">
      <w:pPr>
        <w:pStyle w:val="EndnoteText"/>
      </w:pPr>
      <w:r>
        <w:rPr>
          <w:rStyle w:val="EndnoteReference"/>
        </w:rPr>
        <w:endnoteRef/>
      </w:r>
      <w:r>
        <w:t xml:space="preserve"> </w:t>
      </w:r>
      <w:r>
        <w:tab/>
        <w:t xml:space="preserve">Although the CRTC’s statistical and financial summaries report broadcasters’ expenditures on “Administration and General”, the components that make up this category are entirely unknown, and we therefore have not attempted to generate any estimates of the expenditures required for broadcasters’ own monitoring purposes.  </w:t>
      </w:r>
    </w:p>
  </w:endnote>
  <w:endnote w:id="70">
    <w:p w14:paraId="0E4EEAFE" w14:textId="77777777" w:rsidR="00A74C32" w:rsidRDefault="00A74C32" w:rsidP="005C5D27">
      <w:pPr>
        <w:pStyle w:val="EndnoteText"/>
      </w:pPr>
      <w:r>
        <w:rPr>
          <w:rStyle w:val="EndnoteReference"/>
        </w:rPr>
        <w:endnoteRef/>
      </w:r>
      <w:r>
        <w:t xml:space="preserve"> </w:t>
      </w:r>
      <w:r>
        <w:tab/>
        <w:t>CAB, Part 1 Application, DM#3890215, at ¶65.</w:t>
      </w:r>
    </w:p>
  </w:endnote>
  <w:endnote w:id="71">
    <w:p w14:paraId="1AE5F5F9" w14:textId="77777777" w:rsidR="00A74C32" w:rsidRDefault="00A74C32" w:rsidP="00C33956">
      <w:pPr>
        <w:pStyle w:val="EndnoteText"/>
      </w:pPr>
      <w:r>
        <w:rPr>
          <w:rStyle w:val="EndnoteReference"/>
        </w:rPr>
        <w:endnoteRef/>
      </w:r>
      <w:r>
        <w:t xml:space="preserve"> </w:t>
      </w:r>
      <w:r>
        <w:tab/>
        <w:t xml:space="preserve">The Forum notes that at the time of writing the CRTC has yet to issue a determination regarding the Forum’s </w:t>
      </w:r>
      <w:r w:rsidRPr="0018233D">
        <w:t>4 August 2020 proposal</w:t>
      </w:r>
      <w:r>
        <w:t xml:space="preserve"> regarding the CBC's renewal application.</w:t>
      </w:r>
    </w:p>
  </w:endnote>
  <w:endnote w:id="72">
    <w:p w14:paraId="08A7987E" w14:textId="77777777" w:rsidR="00A74C32" w:rsidRDefault="00A74C32" w:rsidP="00DE3112">
      <w:pPr>
        <w:pStyle w:val="EndnoteText"/>
      </w:pPr>
      <w:r>
        <w:rPr>
          <w:rStyle w:val="EndnoteReference"/>
        </w:rPr>
        <w:endnoteRef/>
      </w:r>
      <w:r>
        <w:t xml:space="preserve"> </w:t>
      </w:r>
      <w:r>
        <w:tab/>
      </w:r>
      <w:r w:rsidRPr="000545BB">
        <w:rPr>
          <w:i/>
          <w:iCs/>
        </w:rPr>
        <w:t>Policy framework for local and community television</w:t>
      </w:r>
      <w:r>
        <w:t xml:space="preserve">, Broadcasting Regulatory Policy CRTC 2016-224 (Ottawa, 15 June 2016), </w:t>
      </w:r>
      <w:hyperlink r:id="rId24" w:history="1">
        <w:r w:rsidRPr="00E62C97">
          <w:rPr>
            <w:rStyle w:val="Hyperlink"/>
          </w:rPr>
          <w:t>https://crtc.gc.ca/eng/archive/2016/2016-224.htm</w:t>
        </w:r>
      </w:hyperlink>
      <w:r>
        <w:t xml:space="preserve">. </w:t>
      </w:r>
    </w:p>
  </w:endnote>
  <w:endnote w:id="73">
    <w:p w14:paraId="66252FA2" w14:textId="77777777" w:rsidR="00A74C32" w:rsidRDefault="00A74C32" w:rsidP="00E86FC6">
      <w:pPr>
        <w:pStyle w:val="EndnoteText"/>
      </w:pPr>
      <w:r>
        <w:rPr>
          <w:rStyle w:val="EndnoteReference"/>
        </w:rPr>
        <w:endnoteRef/>
      </w:r>
      <w:r>
        <w:t xml:space="preserve"> </w:t>
      </w:r>
      <w:r>
        <w:tab/>
        <w:t xml:space="preserve">CAB, Part 1 Application, DM#3890215, at ¶38.    </w:t>
      </w:r>
    </w:p>
    <w:p w14:paraId="36D22ABA" w14:textId="77777777" w:rsidR="00A74C32" w:rsidRDefault="00A74C32" w:rsidP="00E86FC6">
      <w:pPr>
        <w:pStyle w:val="EndnoteText"/>
      </w:pPr>
    </w:p>
    <w:p w14:paraId="0C0717FA" w14:textId="77777777" w:rsidR="00A74C32" w:rsidRDefault="00A74C32" w:rsidP="00E86FC6">
      <w:pPr>
        <w:pStyle w:val="EndnoteText"/>
      </w:pPr>
    </w:p>
    <w:p w14:paraId="17D338E8" w14:textId="072F9A48" w:rsidR="00A74C32" w:rsidRDefault="00A74C32" w:rsidP="0018233D">
      <w:pPr>
        <w:pStyle w:val="EndnoteText"/>
        <w:jc w:val="center"/>
      </w:pPr>
      <w:r w:rsidRPr="00114CDF">
        <w:rPr>
          <w:b/>
          <w:bCs/>
          <w:color w:val="FF0000"/>
        </w:rPr>
        <w:t>* * * End of document * *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F0BA0" w14:textId="77777777" w:rsidR="00D205BD" w:rsidRDefault="00D205BD" w:rsidP="00EB7E64">
      <w:r>
        <w:separator/>
      </w:r>
    </w:p>
  </w:footnote>
  <w:footnote w:type="continuationSeparator" w:id="0">
    <w:p w14:paraId="3EE4079B" w14:textId="77777777" w:rsidR="00D205BD" w:rsidRDefault="00D205BD" w:rsidP="00EB7E64">
      <w:r>
        <w:continuationSeparator/>
      </w:r>
    </w:p>
  </w:footnote>
  <w:footnote w:id="1">
    <w:p w14:paraId="192A6F5F" w14:textId="7F5E8357" w:rsidR="00A74C32" w:rsidRPr="00BF5380" w:rsidRDefault="00A74C32">
      <w:pPr>
        <w:pStyle w:val="FootnoteText"/>
      </w:pPr>
      <w:r w:rsidRPr="002729FE">
        <w:rPr>
          <w:rStyle w:val="FootnoteReference"/>
          <w:i/>
          <w:iCs/>
        </w:rPr>
        <w:footnoteRef/>
      </w:r>
      <w:r>
        <w:t xml:space="preserve"> </w:t>
      </w:r>
      <w:r>
        <w:tab/>
        <w:t xml:space="preserve">The application says very little about Canada’s discretionary television programming services, for example, which in 2018/19 generated $4.2 billion in revenues (including $1.3 billion in advertising), $1.1 billion in profits before interest and taxes and $1.7 billion in Canadian programming expenditures, and which employed more than 4,000 people.  (CRTC, </w:t>
      </w:r>
      <w:r>
        <w:rPr>
          <w:i/>
          <w:iCs/>
        </w:rPr>
        <w:t>Discretionary and On-Demand Statistical and Financial Summaries, 2015-2019</w:t>
      </w:r>
      <w:r>
        <w:t>, at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10D82" w14:textId="77777777" w:rsidR="00A74C32" w:rsidRPr="00C827F3" w:rsidRDefault="00A74C32" w:rsidP="00C827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0BB46" w14:textId="4A7807DA" w:rsidR="00A74C32" w:rsidRPr="00E630BF" w:rsidRDefault="00A74C32">
    <w:pPr>
      <w:pStyle w:val="Header"/>
      <w:rPr>
        <w:rFonts w:ascii="Calibri" w:hAnsi="Calibri" w:cs="Calibri"/>
        <w:sz w:val="20"/>
        <w:szCs w:val="20"/>
      </w:rPr>
    </w:pPr>
    <w:r w:rsidRPr="00E630BF">
      <w:rPr>
        <w:rFonts w:ascii="Calibri" w:hAnsi="Calibri" w:cs="Calibri"/>
        <w:sz w:val="20"/>
        <w:szCs w:val="20"/>
      </w:rPr>
      <w:t xml:space="preserve">Forum for Research and Policy in Communications (FRPC) </w:t>
    </w:r>
    <w:r w:rsidRPr="00E630BF">
      <w:rPr>
        <w:rFonts w:ascii="Calibri" w:hAnsi="Calibri" w:cs="Calibri"/>
        <w:sz w:val="20"/>
        <w:szCs w:val="20"/>
      </w:rPr>
      <w:tab/>
      <w:t>TNoC / BNoC 2020-336</w:t>
    </w:r>
  </w:p>
  <w:p w14:paraId="70FD4B70" w14:textId="596E6651" w:rsidR="00A74C32" w:rsidRPr="00E630BF" w:rsidRDefault="00A74C32">
    <w:pPr>
      <w:pStyle w:val="Header"/>
      <w:rPr>
        <w:rFonts w:ascii="Calibri" w:hAnsi="Calibri" w:cs="Calibri"/>
        <w:sz w:val="20"/>
        <w:szCs w:val="20"/>
      </w:rPr>
    </w:pPr>
    <w:r w:rsidRPr="00E630BF">
      <w:rPr>
        <w:rFonts w:ascii="Calibri" w:hAnsi="Calibri" w:cs="Calibri"/>
        <w:sz w:val="20"/>
        <w:szCs w:val="20"/>
      </w:rPr>
      <w:tab/>
    </w:r>
    <w:r w:rsidRPr="00E630BF">
      <w:rPr>
        <w:rFonts w:ascii="Calibri" w:hAnsi="Calibri" w:cs="Calibri"/>
        <w:sz w:val="20"/>
        <w:szCs w:val="20"/>
      </w:rPr>
      <w:tab/>
      <w:t>Comments (19 October 2020)</w:t>
    </w:r>
  </w:p>
  <w:p w14:paraId="4043EDD1" w14:textId="4C6B678C" w:rsidR="00A74C32" w:rsidRPr="0068423B" w:rsidRDefault="00A74C32">
    <w:pPr>
      <w:pStyle w:val="Header"/>
      <w:rPr>
        <w:rFonts w:ascii="Calibri" w:hAnsi="Calibri" w:cs="Calibri"/>
      </w:rPr>
    </w:pPr>
    <w:r w:rsidRPr="00E630BF">
      <w:rPr>
        <w:rFonts w:ascii="Calibri" w:hAnsi="Calibri" w:cs="Calibri"/>
        <w:sz w:val="20"/>
        <w:szCs w:val="20"/>
      </w:rPr>
      <w:tab/>
    </w:r>
    <w:r w:rsidRPr="00E630BF">
      <w:rPr>
        <w:rFonts w:ascii="Calibri" w:hAnsi="Calibri" w:cs="Calibri"/>
        <w:sz w:val="20"/>
        <w:szCs w:val="20"/>
      </w:rPr>
      <w:tab/>
      <w:t>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FD9F5" w14:textId="77777777" w:rsidR="00A74C32" w:rsidRPr="00E630BF" w:rsidRDefault="00A74C32">
    <w:pPr>
      <w:pStyle w:val="Header"/>
      <w:rPr>
        <w:rFonts w:ascii="Calibri" w:hAnsi="Calibri" w:cs="Calibri"/>
        <w:sz w:val="20"/>
        <w:szCs w:val="20"/>
      </w:rPr>
    </w:pPr>
    <w:r w:rsidRPr="00E630BF">
      <w:rPr>
        <w:rFonts w:ascii="Calibri" w:hAnsi="Calibri" w:cs="Calibri"/>
        <w:sz w:val="20"/>
        <w:szCs w:val="20"/>
      </w:rPr>
      <w:t xml:space="preserve">Forum for Research and Policy in Communications (FRPC) </w:t>
    </w:r>
    <w:r w:rsidRPr="00E630BF">
      <w:rPr>
        <w:rFonts w:ascii="Calibri" w:hAnsi="Calibri" w:cs="Calibri"/>
        <w:sz w:val="20"/>
        <w:szCs w:val="20"/>
      </w:rPr>
      <w:tab/>
      <w:t>TNoC / BNoC 2020-336</w:t>
    </w:r>
  </w:p>
  <w:p w14:paraId="40B9779A" w14:textId="77777777" w:rsidR="00A74C32" w:rsidRPr="00E630BF" w:rsidRDefault="00A74C32">
    <w:pPr>
      <w:pStyle w:val="Header"/>
      <w:rPr>
        <w:rFonts w:ascii="Calibri" w:hAnsi="Calibri" w:cs="Calibri"/>
        <w:sz w:val="20"/>
        <w:szCs w:val="20"/>
      </w:rPr>
    </w:pPr>
    <w:r w:rsidRPr="00E630BF">
      <w:rPr>
        <w:rFonts w:ascii="Calibri" w:hAnsi="Calibri" w:cs="Calibri"/>
        <w:sz w:val="20"/>
        <w:szCs w:val="20"/>
      </w:rPr>
      <w:tab/>
    </w:r>
    <w:r w:rsidRPr="00E630BF">
      <w:rPr>
        <w:rFonts w:ascii="Calibri" w:hAnsi="Calibri" w:cs="Calibri"/>
        <w:sz w:val="20"/>
        <w:szCs w:val="20"/>
      </w:rPr>
      <w:tab/>
      <w:t>Comments (19 October 2020)</w:t>
    </w:r>
  </w:p>
  <w:p w14:paraId="262E227E" w14:textId="77777777" w:rsidR="00A74C32" w:rsidRPr="0068423B" w:rsidRDefault="00A74C32">
    <w:pPr>
      <w:pStyle w:val="Header"/>
      <w:rPr>
        <w:rFonts w:ascii="Calibri" w:hAnsi="Calibri" w:cs="Calibri"/>
      </w:rPr>
    </w:pPr>
    <w:r w:rsidRPr="00E630BF">
      <w:rPr>
        <w:rFonts w:ascii="Calibri" w:hAnsi="Calibri" w:cs="Calibri"/>
        <w:sz w:val="20"/>
        <w:szCs w:val="20"/>
      </w:rPr>
      <w:tab/>
    </w:r>
    <w:r w:rsidRPr="00E630BF">
      <w:rPr>
        <w:rFonts w:ascii="Calibri" w:hAnsi="Calibri" w:cs="Calibri"/>
        <w:sz w:val="20"/>
        <w:szCs w:val="20"/>
      </w:rPr>
      <w:tab/>
      <w:t>Acronyms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12" w:space="0" w:color="FF0000"/>
      </w:tblBorders>
      <w:tblLook w:val="04A0" w:firstRow="1" w:lastRow="0" w:firstColumn="1" w:lastColumn="0" w:noHBand="0" w:noVBand="1"/>
    </w:tblPr>
    <w:tblGrid>
      <w:gridCol w:w="5395"/>
      <w:gridCol w:w="3965"/>
    </w:tblGrid>
    <w:tr w:rsidR="00A74C32" w:rsidRPr="00EB7E64" w14:paraId="40AFB467" w14:textId="77777777" w:rsidTr="00EB7E64">
      <w:tc>
        <w:tcPr>
          <w:tcW w:w="5508" w:type="dxa"/>
          <w:shd w:val="clear" w:color="auto" w:fill="auto"/>
        </w:tcPr>
        <w:p w14:paraId="3CFC14A1" w14:textId="77777777" w:rsidR="00A74C32" w:rsidRPr="00141590" w:rsidRDefault="00A74C32">
          <w:pPr>
            <w:pStyle w:val="Header"/>
            <w:rPr>
              <w:rFonts w:ascii="Calibri" w:hAnsi="Calibri" w:cs="Calibri"/>
              <w:sz w:val="20"/>
              <w:szCs w:val="20"/>
            </w:rPr>
          </w:pPr>
          <w:r w:rsidRPr="00141590">
            <w:rPr>
              <w:rFonts w:ascii="Calibri" w:hAnsi="Calibri" w:cs="Calibri"/>
              <w:sz w:val="20"/>
              <w:szCs w:val="20"/>
            </w:rPr>
            <w:t>Forum for Research and Policy in Communications (FRPC)</w:t>
          </w:r>
        </w:p>
      </w:tc>
      <w:tc>
        <w:tcPr>
          <w:tcW w:w="4050" w:type="dxa"/>
          <w:shd w:val="clear" w:color="auto" w:fill="auto"/>
        </w:tcPr>
        <w:p w14:paraId="2DB02D05" w14:textId="1C4699A7" w:rsidR="00A74C32" w:rsidRPr="00141590" w:rsidRDefault="00A74C32" w:rsidP="00EB7E64">
          <w:pPr>
            <w:pStyle w:val="Header"/>
            <w:jc w:val="right"/>
            <w:rPr>
              <w:rFonts w:ascii="Calibri" w:hAnsi="Calibri" w:cs="Calibri"/>
              <w:sz w:val="20"/>
              <w:szCs w:val="20"/>
            </w:rPr>
          </w:pPr>
          <w:r w:rsidRPr="00141590">
            <w:rPr>
              <w:rFonts w:ascii="Calibri" w:hAnsi="Calibri" w:cs="Calibri"/>
              <w:sz w:val="20"/>
              <w:szCs w:val="20"/>
            </w:rPr>
            <w:t>BNoC 2020-</w:t>
          </w:r>
          <w:r>
            <w:rPr>
              <w:rFonts w:ascii="Calibri" w:hAnsi="Calibri" w:cs="Calibri"/>
              <w:sz w:val="20"/>
              <w:szCs w:val="20"/>
            </w:rPr>
            <w:t>336</w:t>
          </w:r>
        </w:p>
        <w:p w14:paraId="60CE9656" w14:textId="77777777" w:rsidR="00A74C32" w:rsidRDefault="00A74C32" w:rsidP="008F188C">
          <w:pPr>
            <w:pStyle w:val="Header"/>
            <w:jc w:val="right"/>
            <w:rPr>
              <w:rFonts w:ascii="Calibri" w:hAnsi="Calibri" w:cs="Calibri"/>
              <w:sz w:val="20"/>
              <w:szCs w:val="20"/>
            </w:rPr>
          </w:pPr>
          <w:r w:rsidRPr="00141590">
            <w:rPr>
              <w:rFonts w:ascii="Calibri" w:hAnsi="Calibri" w:cs="Calibri"/>
              <w:sz w:val="20"/>
              <w:szCs w:val="20"/>
            </w:rPr>
            <w:t>Comments of the Forum (</w:t>
          </w:r>
          <w:r>
            <w:rPr>
              <w:rFonts w:ascii="Calibri" w:hAnsi="Calibri" w:cs="Calibri"/>
              <w:sz w:val="20"/>
              <w:szCs w:val="20"/>
            </w:rPr>
            <w:t>19 October</w:t>
          </w:r>
          <w:r w:rsidRPr="00141590">
            <w:rPr>
              <w:rFonts w:ascii="Calibri" w:hAnsi="Calibri" w:cs="Calibri"/>
              <w:sz w:val="20"/>
              <w:szCs w:val="20"/>
            </w:rPr>
            <w:t xml:space="preserve"> 2020)</w:t>
          </w:r>
        </w:p>
        <w:p w14:paraId="765BF415" w14:textId="46D62E0B" w:rsidR="00A74C32" w:rsidRPr="00141590" w:rsidRDefault="00A74C32" w:rsidP="007344E9">
          <w:pPr>
            <w:pStyle w:val="Header"/>
            <w:jc w:val="right"/>
            <w:rPr>
              <w:rFonts w:ascii="Calibri" w:hAnsi="Calibri" w:cs="Calibri"/>
              <w:sz w:val="20"/>
              <w:szCs w:val="20"/>
            </w:rPr>
          </w:pPr>
          <w:r>
            <w:rPr>
              <w:rFonts w:ascii="Calibri" w:hAnsi="Calibri" w:cs="Calibri"/>
              <w:sz w:val="20"/>
              <w:szCs w:val="20"/>
            </w:rPr>
            <w:t xml:space="preserve">Summary, page </w:t>
          </w:r>
          <w:r w:rsidRPr="006F0121">
            <w:rPr>
              <w:rFonts w:ascii="Calibri" w:hAnsi="Calibri" w:cs="Calibri"/>
              <w:sz w:val="20"/>
              <w:szCs w:val="20"/>
            </w:rPr>
            <w:fldChar w:fldCharType="begin"/>
          </w:r>
          <w:r w:rsidRPr="006F0121">
            <w:rPr>
              <w:rFonts w:ascii="Calibri" w:hAnsi="Calibri" w:cs="Calibri"/>
              <w:sz w:val="20"/>
              <w:szCs w:val="20"/>
            </w:rPr>
            <w:instrText xml:space="preserve"> PAGE   \* MERGEFORMAT </w:instrText>
          </w:r>
          <w:r w:rsidRPr="006F0121">
            <w:rPr>
              <w:rFonts w:ascii="Calibri" w:hAnsi="Calibri" w:cs="Calibri"/>
              <w:sz w:val="20"/>
              <w:szCs w:val="20"/>
            </w:rPr>
            <w:fldChar w:fldCharType="separate"/>
          </w:r>
          <w:r w:rsidRPr="006F0121">
            <w:rPr>
              <w:rFonts w:ascii="Calibri" w:hAnsi="Calibri" w:cs="Calibri"/>
              <w:b/>
              <w:bCs/>
              <w:noProof/>
              <w:sz w:val="20"/>
              <w:szCs w:val="20"/>
            </w:rPr>
            <w:t>1</w:t>
          </w:r>
          <w:r w:rsidRPr="006F0121">
            <w:rPr>
              <w:rFonts w:ascii="Calibri" w:hAnsi="Calibri" w:cs="Calibri"/>
              <w:b/>
              <w:bCs/>
              <w:noProof/>
              <w:sz w:val="20"/>
              <w:szCs w:val="20"/>
            </w:rPr>
            <w:fldChar w:fldCharType="end"/>
          </w:r>
        </w:p>
      </w:tc>
    </w:tr>
  </w:tbl>
  <w:p w14:paraId="2FA8A71D" w14:textId="77777777" w:rsidR="00A74C32" w:rsidRDefault="00A74C32">
    <w:pPr>
      <w:pStyle w:val="Header"/>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12" w:space="0" w:color="FF0000"/>
      </w:tblBorders>
      <w:tblLook w:val="04A0" w:firstRow="1" w:lastRow="0" w:firstColumn="1" w:lastColumn="0" w:noHBand="0" w:noVBand="1"/>
    </w:tblPr>
    <w:tblGrid>
      <w:gridCol w:w="5395"/>
      <w:gridCol w:w="3965"/>
    </w:tblGrid>
    <w:tr w:rsidR="00A74C32" w:rsidRPr="00EB7E64" w14:paraId="560C3B5E" w14:textId="77777777" w:rsidTr="00EB7E64">
      <w:tc>
        <w:tcPr>
          <w:tcW w:w="5508" w:type="dxa"/>
          <w:shd w:val="clear" w:color="auto" w:fill="auto"/>
        </w:tcPr>
        <w:p w14:paraId="09E81311" w14:textId="77777777" w:rsidR="00A74C32" w:rsidRPr="00141590" w:rsidRDefault="00A74C32">
          <w:pPr>
            <w:pStyle w:val="Header"/>
            <w:rPr>
              <w:rFonts w:ascii="Calibri" w:hAnsi="Calibri" w:cs="Calibri"/>
              <w:sz w:val="20"/>
              <w:szCs w:val="20"/>
            </w:rPr>
          </w:pPr>
          <w:r w:rsidRPr="00141590">
            <w:rPr>
              <w:rFonts w:ascii="Calibri" w:hAnsi="Calibri" w:cs="Calibri"/>
              <w:sz w:val="20"/>
              <w:szCs w:val="20"/>
            </w:rPr>
            <w:t>Forum for Research and Policy in Communications (FRPC)</w:t>
          </w:r>
        </w:p>
      </w:tc>
      <w:tc>
        <w:tcPr>
          <w:tcW w:w="4050" w:type="dxa"/>
          <w:shd w:val="clear" w:color="auto" w:fill="auto"/>
        </w:tcPr>
        <w:p w14:paraId="27302EF8" w14:textId="77777777" w:rsidR="00A74C32" w:rsidRPr="00141590" w:rsidRDefault="00A74C32" w:rsidP="00EB7E64">
          <w:pPr>
            <w:pStyle w:val="Header"/>
            <w:jc w:val="right"/>
            <w:rPr>
              <w:rFonts w:ascii="Calibri" w:hAnsi="Calibri" w:cs="Calibri"/>
              <w:sz w:val="20"/>
              <w:szCs w:val="20"/>
            </w:rPr>
          </w:pPr>
          <w:r w:rsidRPr="00141590">
            <w:rPr>
              <w:rFonts w:ascii="Calibri" w:hAnsi="Calibri" w:cs="Calibri"/>
              <w:sz w:val="20"/>
              <w:szCs w:val="20"/>
            </w:rPr>
            <w:t>BNoC 2020-</w:t>
          </w:r>
          <w:r>
            <w:rPr>
              <w:rFonts w:ascii="Calibri" w:hAnsi="Calibri" w:cs="Calibri"/>
              <w:sz w:val="20"/>
              <w:szCs w:val="20"/>
            </w:rPr>
            <w:t>336</w:t>
          </w:r>
        </w:p>
        <w:p w14:paraId="7E86B7FB" w14:textId="77777777" w:rsidR="00A74C32" w:rsidRDefault="00A74C32" w:rsidP="008F188C">
          <w:pPr>
            <w:pStyle w:val="Header"/>
            <w:jc w:val="right"/>
            <w:rPr>
              <w:rFonts w:ascii="Calibri" w:hAnsi="Calibri" w:cs="Calibri"/>
              <w:sz w:val="20"/>
              <w:szCs w:val="20"/>
            </w:rPr>
          </w:pPr>
          <w:r w:rsidRPr="00141590">
            <w:rPr>
              <w:rFonts w:ascii="Calibri" w:hAnsi="Calibri" w:cs="Calibri"/>
              <w:sz w:val="20"/>
              <w:szCs w:val="20"/>
            </w:rPr>
            <w:t>Comments of the Forum (</w:t>
          </w:r>
          <w:r>
            <w:rPr>
              <w:rFonts w:ascii="Calibri" w:hAnsi="Calibri" w:cs="Calibri"/>
              <w:sz w:val="20"/>
              <w:szCs w:val="20"/>
            </w:rPr>
            <w:t>19 October</w:t>
          </w:r>
          <w:r w:rsidRPr="00141590">
            <w:rPr>
              <w:rFonts w:ascii="Calibri" w:hAnsi="Calibri" w:cs="Calibri"/>
              <w:sz w:val="20"/>
              <w:szCs w:val="20"/>
            </w:rPr>
            <w:t xml:space="preserve"> 2020)</w:t>
          </w:r>
        </w:p>
        <w:p w14:paraId="114D1ADD" w14:textId="2446C559" w:rsidR="00A74C32" w:rsidRPr="00141590" w:rsidRDefault="00A74C32" w:rsidP="007344E9">
          <w:pPr>
            <w:pStyle w:val="Header"/>
            <w:jc w:val="right"/>
            <w:rPr>
              <w:rFonts w:ascii="Calibri" w:hAnsi="Calibri" w:cs="Calibri"/>
              <w:sz w:val="20"/>
              <w:szCs w:val="20"/>
            </w:rPr>
          </w:pPr>
          <w:r>
            <w:rPr>
              <w:rFonts w:ascii="Calibri" w:hAnsi="Calibri" w:cs="Calibri"/>
              <w:sz w:val="20"/>
              <w:szCs w:val="20"/>
            </w:rPr>
            <w:t xml:space="preserve">Page </w:t>
          </w:r>
          <w:r w:rsidRPr="00C84829">
            <w:rPr>
              <w:rFonts w:ascii="Calibri" w:hAnsi="Calibri" w:cs="Calibri"/>
              <w:sz w:val="20"/>
              <w:szCs w:val="20"/>
            </w:rPr>
            <w:fldChar w:fldCharType="begin"/>
          </w:r>
          <w:r w:rsidRPr="00C84829">
            <w:rPr>
              <w:rFonts w:ascii="Calibri" w:hAnsi="Calibri" w:cs="Calibri"/>
              <w:sz w:val="20"/>
              <w:szCs w:val="20"/>
            </w:rPr>
            <w:instrText xml:space="preserve"> PAGE   \* MERGEFORMAT </w:instrText>
          </w:r>
          <w:r w:rsidRPr="00C84829">
            <w:rPr>
              <w:rFonts w:ascii="Calibri" w:hAnsi="Calibri" w:cs="Calibri"/>
              <w:sz w:val="20"/>
              <w:szCs w:val="20"/>
            </w:rPr>
            <w:fldChar w:fldCharType="separate"/>
          </w:r>
          <w:r w:rsidRPr="00C84829">
            <w:rPr>
              <w:rFonts w:ascii="Calibri" w:hAnsi="Calibri" w:cs="Calibri"/>
              <w:noProof/>
              <w:sz w:val="20"/>
              <w:szCs w:val="20"/>
            </w:rPr>
            <w:t>1</w:t>
          </w:r>
          <w:r w:rsidRPr="00C84829">
            <w:rPr>
              <w:rFonts w:ascii="Calibri" w:hAnsi="Calibri" w:cs="Calibri"/>
              <w:noProof/>
              <w:sz w:val="20"/>
              <w:szCs w:val="20"/>
            </w:rPr>
            <w:fldChar w:fldCharType="end"/>
          </w:r>
          <w:r w:rsidRPr="00C84829">
            <w:rPr>
              <w:rFonts w:ascii="Calibri" w:hAnsi="Calibri" w:cs="Calibri"/>
              <w:noProof/>
              <w:sz w:val="20"/>
              <w:szCs w:val="20"/>
            </w:rPr>
            <w:t xml:space="preserve"> of 1</w:t>
          </w:r>
          <w:r>
            <w:rPr>
              <w:rFonts w:ascii="Calibri" w:hAnsi="Calibri" w:cs="Calibri"/>
              <w:noProof/>
              <w:sz w:val="20"/>
              <w:szCs w:val="20"/>
            </w:rPr>
            <w:t>7</w:t>
          </w:r>
        </w:p>
      </w:tc>
    </w:tr>
  </w:tbl>
  <w:p w14:paraId="2E4E6FFF" w14:textId="77777777" w:rsidR="00A74C32" w:rsidRDefault="00A74C32">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12" w:space="0" w:color="FF0000"/>
      </w:tblBorders>
      <w:tblLook w:val="04A0" w:firstRow="1" w:lastRow="0" w:firstColumn="1" w:lastColumn="0" w:noHBand="0" w:noVBand="1"/>
    </w:tblPr>
    <w:tblGrid>
      <w:gridCol w:w="4979"/>
      <w:gridCol w:w="3661"/>
    </w:tblGrid>
    <w:tr w:rsidR="00A74C32" w:rsidRPr="00EB7E64" w14:paraId="3F8F0FF1" w14:textId="77777777" w:rsidTr="00EB7E64">
      <w:tc>
        <w:tcPr>
          <w:tcW w:w="5508" w:type="dxa"/>
          <w:shd w:val="clear" w:color="auto" w:fill="auto"/>
        </w:tcPr>
        <w:p w14:paraId="5D453FDB" w14:textId="77777777" w:rsidR="00A74C32" w:rsidRPr="00141590" w:rsidRDefault="00A74C32">
          <w:pPr>
            <w:pStyle w:val="Header"/>
            <w:rPr>
              <w:rFonts w:ascii="Calibri" w:hAnsi="Calibri" w:cs="Calibri"/>
              <w:sz w:val="20"/>
              <w:szCs w:val="20"/>
            </w:rPr>
          </w:pPr>
          <w:r w:rsidRPr="00141590">
            <w:rPr>
              <w:rFonts w:ascii="Calibri" w:hAnsi="Calibri" w:cs="Calibri"/>
              <w:sz w:val="20"/>
              <w:szCs w:val="20"/>
            </w:rPr>
            <w:t>Forum for Research and Policy in Communications (FRPC)</w:t>
          </w:r>
        </w:p>
      </w:tc>
      <w:tc>
        <w:tcPr>
          <w:tcW w:w="4050" w:type="dxa"/>
          <w:shd w:val="clear" w:color="auto" w:fill="auto"/>
        </w:tcPr>
        <w:p w14:paraId="44AF8D0D" w14:textId="77777777" w:rsidR="00A74C32" w:rsidRPr="00141590" w:rsidRDefault="00A74C32" w:rsidP="00EB7E64">
          <w:pPr>
            <w:pStyle w:val="Header"/>
            <w:jc w:val="right"/>
            <w:rPr>
              <w:rFonts w:ascii="Calibri" w:hAnsi="Calibri" w:cs="Calibri"/>
              <w:sz w:val="20"/>
              <w:szCs w:val="20"/>
            </w:rPr>
          </w:pPr>
          <w:r w:rsidRPr="00141590">
            <w:rPr>
              <w:rFonts w:ascii="Calibri" w:hAnsi="Calibri" w:cs="Calibri"/>
              <w:sz w:val="20"/>
              <w:szCs w:val="20"/>
            </w:rPr>
            <w:t>BNoC 2020-</w:t>
          </w:r>
          <w:r>
            <w:rPr>
              <w:rFonts w:ascii="Calibri" w:hAnsi="Calibri" w:cs="Calibri"/>
              <w:sz w:val="20"/>
              <w:szCs w:val="20"/>
            </w:rPr>
            <w:t>336</w:t>
          </w:r>
        </w:p>
        <w:p w14:paraId="1DC2F30F" w14:textId="77777777" w:rsidR="00A74C32" w:rsidRDefault="00A74C32" w:rsidP="008F188C">
          <w:pPr>
            <w:pStyle w:val="Header"/>
            <w:jc w:val="right"/>
            <w:rPr>
              <w:rFonts w:ascii="Calibri" w:hAnsi="Calibri" w:cs="Calibri"/>
              <w:sz w:val="20"/>
              <w:szCs w:val="20"/>
            </w:rPr>
          </w:pPr>
          <w:r w:rsidRPr="00141590">
            <w:rPr>
              <w:rFonts w:ascii="Calibri" w:hAnsi="Calibri" w:cs="Calibri"/>
              <w:sz w:val="20"/>
              <w:szCs w:val="20"/>
            </w:rPr>
            <w:t>Comments of the Forum (</w:t>
          </w:r>
          <w:r>
            <w:rPr>
              <w:rFonts w:ascii="Calibri" w:hAnsi="Calibri" w:cs="Calibri"/>
              <w:sz w:val="20"/>
              <w:szCs w:val="20"/>
            </w:rPr>
            <w:t>19 October</w:t>
          </w:r>
          <w:r w:rsidRPr="00141590">
            <w:rPr>
              <w:rFonts w:ascii="Calibri" w:hAnsi="Calibri" w:cs="Calibri"/>
              <w:sz w:val="20"/>
              <w:szCs w:val="20"/>
            </w:rPr>
            <w:t xml:space="preserve"> 2020)</w:t>
          </w:r>
        </w:p>
        <w:p w14:paraId="5AF336ED" w14:textId="77C00765" w:rsidR="00A74C32" w:rsidRPr="00141590" w:rsidRDefault="00A74C32" w:rsidP="007344E9">
          <w:pPr>
            <w:pStyle w:val="Header"/>
            <w:jc w:val="right"/>
            <w:rPr>
              <w:rFonts w:ascii="Calibri" w:hAnsi="Calibri" w:cs="Calibri"/>
              <w:sz w:val="20"/>
              <w:szCs w:val="20"/>
            </w:rPr>
          </w:pPr>
          <w:r>
            <w:rPr>
              <w:rFonts w:ascii="Calibri" w:hAnsi="Calibri" w:cs="Calibri"/>
              <w:sz w:val="20"/>
              <w:szCs w:val="20"/>
            </w:rPr>
            <w:t>Appendices</w:t>
          </w:r>
        </w:p>
      </w:tc>
    </w:tr>
  </w:tbl>
  <w:p w14:paraId="6E637554" w14:textId="77777777" w:rsidR="00A74C32" w:rsidRDefault="00A74C32">
    <w:pPr>
      <w:pStyle w:val="Header"/>
      <w:rPr>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12" w:space="0" w:color="FF0000"/>
      </w:tblBorders>
      <w:tblLook w:val="04A0" w:firstRow="1" w:lastRow="0" w:firstColumn="1" w:lastColumn="0" w:noHBand="0" w:noVBand="1"/>
    </w:tblPr>
    <w:tblGrid>
      <w:gridCol w:w="4976"/>
      <w:gridCol w:w="3664"/>
    </w:tblGrid>
    <w:tr w:rsidR="00A74C32" w:rsidRPr="00EB7E64" w14:paraId="60AECC91" w14:textId="77777777" w:rsidTr="00EB7E64">
      <w:tc>
        <w:tcPr>
          <w:tcW w:w="5508" w:type="dxa"/>
          <w:shd w:val="clear" w:color="auto" w:fill="auto"/>
        </w:tcPr>
        <w:p w14:paraId="19F4259B" w14:textId="77777777" w:rsidR="00A74C32" w:rsidRPr="00141590" w:rsidRDefault="00A74C32">
          <w:pPr>
            <w:pStyle w:val="Header"/>
            <w:rPr>
              <w:rFonts w:ascii="Calibri" w:hAnsi="Calibri" w:cs="Calibri"/>
              <w:sz w:val="20"/>
              <w:szCs w:val="20"/>
            </w:rPr>
          </w:pPr>
          <w:r w:rsidRPr="00141590">
            <w:rPr>
              <w:rFonts w:ascii="Calibri" w:hAnsi="Calibri" w:cs="Calibri"/>
              <w:sz w:val="20"/>
              <w:szCs w:val="20"/>
            </w:rPr>
            <w:t>Forum for Research and Policy in Communications (FRPC)</w:t>
          </w:r>
        </w:p>
      </w:tc>
      <w:tc>
        <w:tcPr>
          <w:tcW w:w="4050" w:type="dxa"/>
          <w:shd w:val="clear" w:color="auto" w:fill="auto"/>
        </w:tcPr>
        <w:p w14:paraId="4653702B" w14:textId="77777777" w:rsidR="00A74C32" w:rsidRPr="00141590" w:rsidRDefault="00A74C32" w:rsidP="00EB7E64">
          <w:pPr>
            <w:pStyle w:val="Header"/>
            <w:jc w:val="right"/>
            <w:rPr>
              <w:rFonts w:ascii="Calibri" w:hAnsi="Calibri" w:cs="Calibri"/>
              <w:sz w:val="20"/>
              <w:szCs w:val="20"/>
            </w:rPr>
          </w:pPr>
          <w:r w:rsidRPr="00141590">
            <w:rPr>
              <w:rFonts w:ascii="Calibri" w:hAnsi="Calibri" w:cs="Calibri"/>
              <w:sz w:val="20"/>
              <w:szCs w:val="20"/>
            </w:rPr>
            <w:t>BNoC 2020-</w:t>
          </w:r>
          <w:r>
            <w:rPr>
              <w:rFonts w:ascii="Calibri" w:hAnsi="Calibri" w:cs="Calibri"/>
              <w:sz w:val="20"/>
              <w:szCs w:val="20"/>
            </w:rPr>
            <w:t>336</w:t>
          </w:r>
        </w:p>
        <w:p w14:paraId="0A02F8B1" w14:textId="77777777" w:rsidR="00A74C32" w:rsidRDefault="00A74C32" w:rsidP="008F188C">
          <w:pPr>
            <w:pStyle w:val="Header"/>
            <w:jc w:val="right"/>
            <w:rPr>
              <w:rFonts w:ascii="Calibri" w:hAnsi="Calibri" w:cs="Calibri"/>
              <w:sz w:val="20"/>
              <w:szCs w:val="20"/>
            </w:rPr>
          </w:pPr>
          <w:r w:rsidRPr="00141590">
            <w:rPr>
              <w:rFonts w:ascii="Calibri" w:hAnsi="Calibri" w:cs="Calibri"/>
              <w:sz w:val="20"/>
              <w:szCs w:val="20"/>
            </w:rPr>
            <w:t>Comments of the Forum (</w:t>
          </w:r>
          <w:r>
            <w:rPr>
              <w:rFonts w:ascii="Calibri" w:hAnsi="Calibri" w:cs="Calibri"/>
              <w:sz w:val="20"/>
              <w:szCs w:val="20"/>
            </w:rPr>
            <w:t>19 October</w:t>
          </w:r>
          <w:r w:rsidRPr="00141590">
            <w:rPr>
              <w:rFonts w:ascii="Calibri" w:hAnsi="Calibri" w:cs="Calibri"/>
              <w:sz w:val="20"/>
              <w:szCs w:val="20"/>
            </w:rPr>
            <w:t xml:space="preserve"> 2020)</w:t>
          </w:r>
        </w:p>
        <w:p w14:paraId="2F0B5453" w14:textId="709EC395" w:rsidR="00A74C32" w:rsidRPr="00141590" w:rsidRDefault="00A74C32" w:rsidP="007344E9">
          <w:pPr>
            <w:pStyle w:val="Header"/>
            <w:jc w:val="right"/>
            <w:rPr>
              <w:rFonts w:ascii="Calibri" w:hAnsi="Calibri" w:cs="Calibri"/>
              <w:sz w:val="20"/>
              <w:szCs w:val="20"/>
            </w:rPr>
          </w:pPr>
          <w:r>
            <w:rPr>
              <w:rFonts w:ascii="Calibri" w:hAnsi="Calibri" w:cs="Calibri"/>
              <w:sz w:val="20"/>
              <w:szCs w:val="20"/>
            </w:rPr>
            <w:t xml:space="preserve">Appendices, page </w:t>
          </w:r>
          <w:r w:rsidRPr="008E0301">
            <w:rPr>
              <w:rFonts w:ascii="Calibri" w:hAnsi="Calibri" w:cs="Calibri"/>
              <w:sz w:val="20"/>
              <w:szCs w:val="20"/>
            </w:rPr>
            <w:fldChar w:fldCharType="begin"/>
          </w:r>
          <w:r w:rsidRPr="008E0301">
            <w:rPr>
              <w:rFonts w:ascii="Calibri" w:hAnsi="Calibri" w:cs="Calibri"/>
              <w:sz w:val="20"/>
              <w:szCs w:val="20"/>
            </w:rPr>
            <w:instrText xml:space="preserve"> PAGE   \* MERGEFORMAT </w:instrText>
          </w:r>
          <w:r w:rsidRPr="008E0301">
            <w:rPr>
              <w:rFonts w:ascii="Calibri" w:hAnsi="Calibri" w:cs="Calibri"/>
              <w:sz w:val="20"/>
              <w:szCs w:val="20"/>
            </w:rPr>
            <w:fldChar w:fldCharType="separate"/>
          </w:r>
          <w:r w:rsidRPr="008E0301">
            <w:rPr>
              <w:rFonts w:ascii="Calibri" w:hAnsi="Calibri" w:cs="Calibri"/>
              <w:noProof/>
              <w:sz w:val="20"/>
              <w:szCs w:val="20"/>
            </w:rPr>
            <w:t>1</w:t>
          </w:r>
          <w:r w:rsidRPr="008E0301">
            <w:rPr>
              <w:rFonts w:ascii="Calibri" w:hAnsi="Calibri" w:cs="Calibri"/>
              <w:noProof/>
              <w:sz w:val="20"/>
              <w:szCs w:val="20"/>
            </w:rPr>
            <w:fldChar w:fldCharType="end"/>
          </w:r>
        </w:p>
      </w:tc>
    </w:tr>
  </w:tbl>
  <w:p w14:paraId="2CEABD67" w14:textId="77777777" w:rsidR="00A74C32" w:rsidRDefault="00A74C32">
    <w:pPr>
      <w:pStyle w:val="Header"/>
      <w:rPr>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12" w:space="0" w:color="FF0000"/>
      </w:tblBorders>
      <w:tblLook w:val="04A0" w:firstRow="1" w:lastRow="0" w:firstColumn="1" w:lastColumn="0" w:noHBand="0" w:noVBand="1"/>
    </w:tblPr>
    <w:tblGrid>
      <w:gridCol w:w="4984"/>
      <w:gridCol w:w="3656"/>
    </w:tblGrid>
    <w:tr w:rsidR="00A74C32" w:rsidRPr="00EB7E64" w14:paraId="54E2D3CC" w14:textId="77777777" w:rsidTr="00EB7E64">
      <w:tc>
        <w:tcPr>
          <w:tcW w:w="5508" w:type="dxa"/>
          <w:shd w:val="clear" w:color="auto" w:fill="auto"/>
        </w:tcPr>
        <w:p w14:paraId="1E628A4E" w14:textId="77777777" w:rsidR="00A74C32" w:rsidRPr="00141590" w:rsidRDefault="00A74C32">
          <w:pPr>
            <w:pStyle w:val="Header"/>
            <w:rPr>
              <w:rFonts w:ascii="Calibri" w:hAnsi="Calibri" w:cs="Calibri"/>
              <w:sz w:val="20"/>
              <w:szCs w:val="20"/>
            </w:rPr>
          </w:pPr>
          <w:r w:rsidRPr="00141590">
            <w:rPr>
              <w:rFonts w:ascii="Calibri" w:hAnsi="Calibri" w:cs="Calibri"/>
              <w:sz w:val="20"/>
              <w:szCs w:val="20"/>
            </w:rPr>
            <w:t>Forum for Research and Policy in Communications (FRPC)</w:t>
          </w:r>
        </w:p>
      </w:tc>
      <w:tc>
        <w:tcPr>
          <w:tcW w:w="4050" w:type="dxa"/>
          <w:shd w:val="clear" w:color="auto" w:fill="auto"/>
        </w:tcPr>
        <w:p w14:paraId="45608403" w14:textId="77777777" w:rsidR="00A74C32" w:rsidRPr="00141590" w:rsidRDefault="00A74C32" w:rsidP="00EB7E64">
          <w:pPr>
            <w:pStyle w:val="Header"/>
            <w:jc w:val="right"/>
            <w:rPr>
              <w:rFonts w:ascii="Calibri" w:hAnsi="Calibri" w:cs="Calibri"/>
              <w:sz w:val="20"/>
              <w:szCs w:val="20"/>
            </w:rPr>
          </w:pPr>
          <w:r w:rsidRPr="00141590">
            <w:rPr>
              <w:rFonts w:ascii="Calibri" w:hAnsi="Calibri" w:cs="Calibri"/>
              <w:sz w:val="20"/>
              <w:szCs w:val="20"/>
            </w:rPr>
            <w:t>BNoC 2020-</w:t>
          </w:r>
          <w:r>
            <w:rPr>
              <w:rFonts w:ascii="Calibri" w:hAnsi="Calibri" w:cs="Calibri"/>
              <w:sz w:val="20"/>
              <w:szCs w:val="20"/>
            </w:rPr>
            <w:t>336</w:t>
          </w:r>
        </w:p>
        <w:p w14:paraId="22B55157" w14:textId="77777777" w:rsidR="00A74C32" w:rsidRDefault="00A74C32" w:rsidP="008F188C">
          <w:pPr>
            <w:pStyle w:val="Header"/>
            <w:jc w:val="right"/>
            <w:rPr>
              <w:rFonts w:ascii="Calibri" w:hAnsi="Calibri" w:cs="Calibri"/>
              <w:sz w:val="20"/>
              <w:szCs w:val="20"/>
            </w:rPr>
          </w:pPr>
          <w:r w:rsidRPr="00141590">
            <w:rPr>
              <w:rFonts w:ascii="Calibri" w:hAnsi="Calibri" w:cs="Calibri"/>
              <w:sz w:val="20"/>
              <w:szCs w:val="20"/>
            </w:rPr>
            <w:t>Comments of the Forum (</w:t>
          </w:r>
          <w:r>
            <w:rPr>
              <w:rFonts w:ascii="Calibri" w:hAnsi="Calibri" w:cs="Calibri"/>
              <w:sz w:val="20"/>
              <w:szCs w:val="20"/>
            </w:rPr>
            <w:t>19 October</w:t>
          </w:r>
          <w:r w:rsidRPr="00141590">
            <w:rPr>
              <w:rFonts w:ascii="Calibri" w:hAnsi="Calibri" w:cs="Calibri"/>
              <w:sz w:val="20"/>
              <w:szCs w:val="20"/>
            </w:rPr>
            <w:t xml:space="preserve"> 2020)</w:t>
          </w:r>
        </w:p>
        <w:p w14:paraId="20FE3FD0" w14:textId="5FBFEB3C" w:rsidR="00A74C32" w:rsidRPr="00141590" w:rsidRDefault="00A74C32" w:rsidP="007344E9">
          <w:pPr>
            <w:pStyle w:val="Header"/>
            <w:jc w:val="right"/>
            <w:rPr>
              <w:rFonts w:ascii="Calibri" w:hAnsi="Calibri" w:cs="Calibri"/>
              <w:sz w:val="20"/>
              <w:szCs w:val="20"/>
            </w:rPr>
          </w:pPr>
          <w:r>
            <w:rPr>
              <w:rFonts w:ascii="Calibri" w:hAnsi="Calibri" w:cs="Calibri"/>
              <w:sz w:val="20"/>
              <w:szCs w:val="20"/>
            </w:rPr>
            <w:t xml:space="preserve">Endnotes, page </w:t>
          </w:r>
          <w:r w:rsidRPr="00DB1ECA">
            <w:rPr>
              <w:rFonts w:ascii="Calibri" w:hAnsi="Calibri" w:cs="Calibri"/>
              <w:sz w:val="20"/>
              <w:szCs w:val="20"/>
            </w:rPr>
            <w:fldChar w:fldCharType="begin"/>
          </w:r>
          <w:r w:rsidRPr="00DB1ECA">
            <w:rPr>
              <w:rFonts w:ascii="Calibri" w:hAnsi="Calibri" w:cs="Calibri"/>
              <w:sz w:val="20"/>
              <w:szCs w:val="20"/>
            </w:rPr>
            <w:instrText xml:space="preserve"> PAGE   \* MERGEFORMAT </w:instrText>
          </w:r>
          <w:r w:rsidRPr="00DB1ECA">
            <w:rPr>
              <w:rFonts w:ascii="Calibri" w:hAnsi="Calibri" w:cs="Calibri"/>
              <w:sz w:val="20"/>
              <w:szCs w:val="20"/>
            </w:rPr>
            <w:fldChar w:fldCharType="separate"/>
          </w:r>
          <w:r w:rsidRPr="00DB1ECA">
            <w:rPr>
              <w:rFonts w:ascii="Calibri" w:hAnsi="Calibri" w:cs="Calibri"/>
              <w:noProof/>
              <w:sz w:val="20"/>
              <w:szCs w:val="20"/>
            </w:rPr>
            <w:t>1</w:t>
          </w:r>
          <w:r w:rsidRPr="00DB1ECA">
            <w:rPr>
              <w:rFonts w:ascii="Calibri" w:hAnsi="Calibri" w:cs="Calibri"/>
              <w:noProof/>
              <w:sz w:val="20"/>
              <w:szCs w:val="20"/>
            </w:rPr>
            <w:fldChar w:fldCharType="end"/>
          </w:r>
          <w:r w:rsidRPr="00DB1ECA">
            <w:rPr>
              <w:rFonts w:ascii="Calibri" w:hAnsi="Calibri" w:cs="Calibri"/>
              <w:noProof/>
              <w:sz w:val="20"/>
              <w:szCs w:val="20"/>
            </w:rPr>
            <w:t xml:space="preserve"> of 5</w:t>
          </w:r>
        </w:p>
      </w:tc>
    </w:tr>
  </w:tbl>
  <w:p w14:paraId="1CE40CA8" w14:textId="77777777" w:rsidR="00A74C32" w:rsidRDefault="00A74C32">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B6B7F"/>
    <w:multiLevelType w:val="hybridMultilevel"/>
    <w:tmpl w:val="24DA0600"/>
    <w:lvl w:ilvl="0" w:tplc="AC90AA82">
      <w:start w:val="1"/>
      <w:numFmt w:val="decimal"/>
      <w:pStyle w:val="FRPCexecSumm"/>
      <w:lvlText w:val="ES %1"/>
      <w:lvlJc w:val="left"/>
      <w:pPr>
        <w:ind w:left="720" w:hanging="360"/>
      </w:pPr>
      <w:rPr>
        <w:rFonts w:ascii="Calibri" w:hAnsi="Calibri" w:hint="default"/>
        <w:color w:val="FF000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8E1321F"/>
    <w:multiLevelType w:val="hybridMultilevel"/>
    <w:tmpl w:val="4E160A96"/>
    <w:lvl w:ilvl="0" w:tplc="6EA07C7E">
      <w:start w:val="1"/>
      <w:numFmt w:val="decimal"/>
      <w:pStyle w:val="FRPCintPara"/>
      <w:lvlText w:val="%1"/>
      <w:lvlJc w:val="left"/>
      <w:pPr>
        <w:ind w:left="720" w:hanging="360"/>
      </w:pPr>
      <w:rPr>
        <w:rFonts w:hint="default"/>
        <w:color w:val="FF0000"/>
        <w:sz w:val="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9FD5039"/>
    <w:multiLevelType w:val="multilevel"/>
    <w:tmpl w:val="C22204D0"/>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6BA037A2"/>
    <w:multiLevelType w:val="hybridMultilevel"/>
    <w:tmpl w:val="193A22CC"/>
    <w:lvl w:ilvl="0" w:tplc="1009000F">
      <w:start w:val="1"/>
      <w:numFmt w:val="decimal"/>
      <w:lvlText w:val="%1."/>
      <w:lvlJc w:val="left"/>
      <w:pPr>
        <w:ind w:left="720" w:hanging="360"/>
      </w:pPr>
      <w:rPr>
        <w:rFonts w:hint="default"/>
        <w:color w:val="FF000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CD25CE9"/>
    <w:multiLevelType w:val="hybridMultilevel"/>
    <w:tmpl w:val="4D8C8C82"/>
    <w:lvl w:ilvl="0" w:tplc="FE8AB902">
      <w:start w:val="1"/>
      <w:numFmt w:val="bullet"/>
      <w:pStyle w:val="BulletText"/>
      <w:lvlText w:val=""/>
      <w:lvlJc w:val="left"/>
      <w:pPr>
        <w:ind w:left="720" w:hanging="360"/>
      </w:pPr>
      <w:rPr>
        <w:rFonts w:ascii="Symbol" w:hAnsi="Symbol" w:hint="default"/>
        <w:color w:val="FF0000"/>
        <w:sz w:val="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lvlOverride w:ilvl="0">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4CE"/>
    <w:rsid w:val="00000248"/>
    <w:rsid w:val="000003AD"/>
    <w:rsid w:val="00001F2D"/>
    <w:rsid w:val="0000471F"/>
    <w:rsid w:val="0000481F"/>
    <w:rsid w:val="00006EBB"/>
    <w:rsid w:val="000079BC"/>
    <w:rsid w:val="00015493"/>
    <w:rsid w:val="000160F7"/>
    <w:rsid w:val="000229A8"/>
    <w:rsid w:val="00023698"/>
    <w:rsid w:val="00026145"/>
    <w:rsid w:val="000310CA"/>
    <w:rsid w:val="00033E7D"/>
    <w:rsid w:val="00034525"/>
    <w:rsid w:val="00036664"/>
    <w:rsid w:val="0004015C"/>
    <w:rsid w:val="00041A2E"/>
    <w:rsid w:val="00042C6E"/>
    <w:rsid w:val="00042D8E"/>
    <w:rsid w:val="000453FE"/>
    <w:rsid w:val="00050580"/>
    <w:rsid w:val="000513FF"/>
    <w:rsid w:val="000545BB"/>
    <w:rsid w:val="00054CDE"/>
    <w:rsid w:val="000576B2"/>
    <w:rsid w:val="00060383"/>
    <w:rsid w:val="000649A0"/>
    <w:rsid w:val="00064B5B"/>
    <w:rsid w:val="00064E70"/>
    <w:rsid w:val="00065949"/>
    <w:rsid w:val="000712AC"/>
    <w:rsid w:val="0007316A"/>
    <w:rsid w:val="00080987"/>
    <w:rsid w:val="00085D67"/>
    <w:rsid w:val="0008628A"/>
    <w:rsid w:val="00086A25"/>
    <w:rsid w:val="000908FB"/>
    <w:rsid w:val="00090B20"/>
    <w:rsid w:val="00093EEB"/>
    <w:rsid w:val="000951C3"/>
    <w:rsid w:val="0009675A"/>
    <w:rsid w:val="00096B4F"/>
    <w:rsid w:val="000A1768"/>
    <w:rsid w:val="000A26A8"/>
    <w:rsid w:val="000A3B82"/>
    <w:rsid w:val="000A558F"/>
    <w:rsid w:val="000B229F"/>
    <w:rsid w:val="000B3A4E"/>
    <w:rsid w:val="000B460E"/>
    <w:rsid w:val="000B4AFC"/>
    <w:rsid w:val="000B73CB"/>
    <w:rsid w:val="000C0055"/>
    <w:rsid w:val="000C6F93"/>
    <w:rsid w:val="000D1132"/>
    <w:rsid w:val="000D22AB"/>
    <w:rsid w:val="000D450B"/>
    <w:rsid w:val="000D5EE1"/>
    <w:rsid w:val="000E05AB"/>
    <w:rsid w:val="000E4CC3"/>
    <w:rsid w:val="000E68BC"/>
    <w:rsid w:val="000E693E"/>
    <w:rsid w:val="000F2126"/>
    <w:rsid w:val="000F26AE"/>
    <w:rsid w:val="000F6C99"/>
    <w:rsid w:val="001032BB"/>
    <w:rsid w:val="001051A3"/>
    <w:rsid w:val="00110B04"/>
    <w:rsid w:val="00110EFA"/>
    <w:rsid w:val="00111842"/>
    <w:rsid w:val="001124E7"/>
    <w:rsid w:val="00114CDF"/>
    <w:rsid w:val="00120ADB"/>
    <w:rsid w:val="00123146"/>
    <w:rsid w:val="001236D3"/>
    <w:rsid w:val="00124C33"/>
    <w:rsid w:val="00125F64"/>
    <w:rsid w:val="00133CD2"/>
    <w:rsid w:val="00135BCA"/>
    <w:rsid w:val="001374AC"/>
    <w:rsid w:val="00141590"/>
    <w:rsid w:val="001438C8"/>
    <w:rsid w:val="00150831"/>
    <w:rsid w:val="00151FED"/>
    <w:rsid w:val="00153068"/>
    <w:rsid w:val="00153FCA"/>
    <w:rsid w:val="00156140"/>
    <w:rsid w:val="001639CC"/>
    <w:rsid w:val="00165E84"/>
    <w:rsid w:val="00167743"/>
    <w:rsid w:val="00172551"/>
    <w:rsid w:val="00172741"/>
    <w:rsid w:val="00173584"/>
    <w:rsid w:val="00177C37"/>
    <w:rsid w:val="001815C6"/>
    <w:rsid w:val="00181953"/>
    <w:rsid w:val="001822A7"/>
    <w:rsid w:val="0018233D"/>
    <w:rsid w:val="001836CC"/>
    <w:rsid w:val="00187461"/>
    <w:rsid w:val="00191A9F"/>
    <w:rsid w:val="00191FC1"/>
    <w:rsid w:val="00194F17"/>
    <w:rsid w:val="001A4C6B"/>
    <w:rsid w:val="001A5174"/>
    <w:rsid w:val="001A52A0"/>
    <w:rsid w:val="001B3C4E"/>
    <w:rsid w:val="001B7DD0"/>
    <w:rsid w:val="001C02DC"/>
    <w:rsid w:val="001C2571"/>
    <w:rsid w:val="001C3B22"/>
    <w:rsid w:val="001C467C"/>
    <w:rsid w:val="001C5547"/>
    <w:rsid w:val="001C6D45"/>
    <w:rsid w:val="001C71AA"/>
    <w:rsid w:val="001D0AAD"/>
    <w:rsid w:val="001D11E6"/>
    <w:rsid w:val="001D250C"/>
    <w:rsid w:val="001D65C3"/>
    <w:rsid w:val="001E368F"/>
    <w:rsid w:val="001E5422"/>
    <w:rsid w:val="001E5757"/>
    <w:rsid w:val="001E5E3D"/>
    <w:rsid w:val="001E6878"/>
    <w:rsid w:val="001E75FE"/>
    <w:rsid w:val="001F0587"/>
    <w:rsid w:val="001F1482"/>
    <w:rsid w:val="001F2B0A"/>
    <w:rsid w:val="001F4E64"/>
    <w:rsid w:val="001F5E7C"/>
    <w:rsid w:val="001F7571"/>
    <w:rsid w:val="001F7E37"/>
    <w:rsid w:val="002006CB"/>
    <w:rsid w:val="00201FA5"/>
    <w:rsid w:val="00202CD2"/>
    <w:rsid w:val="00204FE6"/>
    <w:rsid w:val="002068FF"/>
    <w:rsid w:val="00212746"/>
    <w:rsid w:val="00212B82"/>
    <w:rsid w:val="00215A5D"/>
    <w:rsid w:val="00221AA8"/>
    <w:rsid w:val="002266C5"/>
    <w:rsid w:val="00227454"/>
    <w:rsid w:val="00230871"/>
    <w:rsid w:val="00230B2C"/>
    <w:rsid w:val="002328E7"/>
    <w:rsid w:val="00237432"/>
    <w:rsid w:val="00242E91"/>
    <w:rsid w:val="00244FC9"/>
    <w:rsid w:val="0024712C"/>
    <w:rsid w:val="00250F4D"/>
    <w:rsid w:val="00251500"/>
    <w:rsid w:val="00255F32"/>
    <w:rsid w:val="00266E45"/>
    <w:rsid w:val="0027060F"/>
    <w:rsid w:val="00271CD2"/>
    <w:rsid w:val="00272532"/>
    <w:rsid w:val="002729FE"/>
    <w:rsid w:val="00272DFC"/>
    <w:rsid w:val="002752F8"/>
    <w:rsid w:val="00275DD0"/>
    <w:rsid w:val="00280D59"/>
    <w:rsid w:val="0028605C"/>
    <w:rsid w:val="0028746A"/>
    <w:rsid w:val="00291288"/>
    <w:rsid w:val="00292E6B"/>
    <w:rsid w:val="00294083"/>
    <w:rsid w:val="0029440A"/>
    <w:rsid w:val="00294708"/>
    <w:rsid w:val="002949E8"/>
    <w:rsid w:val="0029693E"/>
    <w:rsid w:val="002A76AD"/>
    <w:rsid w:val="002B134F"/>
    <w:rsid w:val="002B4420"/>
    <w:rsid w:val="002B6A88"/>
    <w:rsid w:val="002C0DB1"/>
    <w:rsid w:val="002C284C"/>
    <w:rsid w:val="002C5B0D"/>
    <w:rsid w:val="002D3CD6"/>
    <w:rsid w:val="002D6552"/>
    <w:rsid w:val="002E1E25"/>
    <w:rsid w:val="002E25B3"/>
    <w:rsid w:val="002E716B"/>
    <w:rsid w:val="002F3F8D"/>
    <w:rsid w:val="002F4D99"/>
    <w:rsid w:val="002F6083"/>
    <w:rsid w:val="00301B2D"/>
    <w:rsid w:val="0030438D"/>
    <w:rsid w:val="00304F8B"/>
    <w:rsid w:val="00310427"/>
    <w:rsid w:val="00311064"/>
    <w:rsid w:val="00315712"/>
    <w:rsid w:val="00320C59"/>
    <w:rsid w:val="00320EA1"/>
    <w:rsid w:val="00326758"/>
    <w:rsid w:val="00326F56"/>
    <w:rsid w:val="003302E4"/>
    <w:rsid w:val="00336BF4"/>
    <w:rsid w:val="00337AC7"/>
    <w:rsid w:val="00337FC0"/>
    <w:rsid w:val="0034122B"/>
    <w:rsid w:val="00341BB5"/>
    <w:rsid w:val="00345501"/>
    <w:rsid w:val="00345CD6"/>
    <w:rsid w:val="003463D4"/>
    <w:rsid w:val="00350412"/>
    <w:rsid w:val="00350F98"/>
    <w:rsid w:val="00351BA5"/>
    <w:rsid w:val="00351DC7"/>
    <w:rsid w:val="00352A14"/>
    <w:rsid w:val="00354064"/>
    <w:rsid w:val="003553EE"/>
    <w:rsid w:val="00355E34"/>
    <w:rsid w:val="00355EF4"/>
    <w:rsid w:val="00360DB2"/>
    <w:rsid w:val="00361556"/>
    <w:rsid w:val="003624F3"/>
    <w:rsid w:val="00362FAB"/>
    <w:rsid w:val="003638A8"/>
    <w:rsid w:val="00363F3D"/>
    <w:rsid w:val="00364651"/>
    <w:rsid w:val="00370F57"/>
    <w:rsid w:val="003749C6"/>
    <w:rsid w:val="0037561E"/>
    <w:rsid w:val="0037580D"/>
    <w:rsid w:val="0037684C"/>
    <w:rsid w:val="00381591"/>
    <w:rsid w:val="003850C5"/>
    <w:rsid w:val="00387461"/>
    <w:rsid w:val="003938AA"/>
    <w:rsid w:val="003965EA"/>
    <w:rsid w:val="003A0087"/>
    <w:rsid w:val="003A3164"/>
    <w:rsid w:val="003A44B2"/>
    <w:rsid w:val="003A633D"/>
    <w:rsid w:val="003A71AE"/>
    <w:rsid w:val="003B1D81"/>
    <w:rsid w:val="003B2DC6"/>
    <w:rsid w:val="003B6BF2"/>
    <w:rsid w:val="003B7AE2"/>
    <w:rsid w:val="003C11C9"/>
    <w:rsid w:val="003C2B73"/>
    <w:rsid w:val="003C3154"/>
    <w:rsid w:val="003C3888"/>
    <w:rsid w:val="003D2582"/>
    <w:rsid w:val="003D7793"/>
    <w:rsid w:val="003E0531"/>
    <w:rsid w:val="003E1E02"/>
    <w:rsid w:val="003E1F1C"/>
    <w:rsid w:val="003E47E8"/>
    <w:rsid w:val="003E64DC"/>
    <w:rsid w:val="003E6B87"/>
    <w:rsid w:val="003E7757"/>
    <w:rsid w:val="003E7859"/>
    <w:rsid w:val="003F14BD"/>
    <w:rsid w:val="003F3520"/>
    <w:rsid w:val="003F48A5"/>
    <w:rsid w:val="003F4C7F"/>
    <w:rsid w:val="00400272"/>
    <w:rsid w:val="0040070A"/>
    <w:rsid w:val="0040089F"/>
    <w:rsid w:val="00400C46"/>
    <w:rsid w:val="00400ED7"/>
    <w:rsid w:val="0040200E"/>
    <w:rsid w:val="00402D25"/>
    <w:rsid w:val="00402E43"/>
    <w:rsid w:val="00404922"/>
    <w:rsid w:val="00410377"/>
    <w:rsid w:val="00410686"/>
    <w:rsid w:val="004143CF"/>
    <w:rsid w:val="004148B9"/>
    <w:rsid w:val="0041591B"/>
    <w:rsid w:val="00415EF8"/>
    <w:rsid w:val="00420169"/>
    <w:rsid w:val="004220E2"/>
    <w:rsid w:val="004235AC"/>
    <w:rsid w:val="00431F6E"/>
    <w:rsid w:val="00435246"/>
    <w:rsid w:val="004370EF"/>
    <w:rsid w:val="004403CB"/>
    <w:rsid w:val="004421FC"/>
    <w:rsid w:val="00444CE8"/>
    <w:rsid w:val="0045091D"/>
    <w:rsid w:val="00452B3D"/>
    <w:rsid w:val="004538C1"/>
    <w:rsid w:val="004541A5"/>
    <w:rsid w:val="004555A5"/>
    <w:rsid w:val="0045669F"/>
    <w:rsid w:val="0046035E"/>
    <w:rsid w:val="00460D9D"/>
    <w:rsid w:val="00463847"/>
    <w:rsid w:val="004645E7"/>
    <w:rsid w:val="00464C69"/>
    <w:rsid w:val="00467750"/>
    <w:rsid w:val="00470EBC"/>
    <w:rsid w:val="00471BDB"/>
    <w:rsid w:val="00472616"/>
    <w:rsid w:val="004753AC"/>
    <w:rsid w:val="00476A5D"/>
    <w:rsid w:val="00477097"/>
    <w:rsid w:val="00477199"/>
    <w:rsid w:val="004844F6"/>
    <w:rsid w:val="00485CAB"/>
    <w:rsid w:val="00486C71"/>
    <w:rsid w:val="00487189"/>
    <w:rsid w:val="00487519"/>
    <w:rsid w:val="00492AF7"/>
    <w:rsid w:val="00496016"/>
    <w:rsid w:val="004A36A9"/>
    <w:rsid w:val="004A64B8"/>
    <w:rsid w:val="004B1763"/>
    <w:rsid w:val="004B29D2"/>
    <w:rsid w:val="004C00F7"/>
    <w:rsid w:val="004D2AB3"/>
    <w:rsid w:val="004D34BC"/>
    <w:rsid w:val="004D383A"/>
    <w:rsid w:val="004D3FB4"/>
    <w:rsid w:val="004D40D9"/>
    <w:rsid w:val="004D6502"/>
    <w:rsid w:val="004D7B8E"/>
    <w:rsid w:val="004E4E3C"/>
    <w:rsid w:val="004E4EA5"/>
    <w:rsid w:val="00501276"/>
    <w:rsid w:val="00503B2C"/>
    <w:rsid w:val="00503F0D"/>
    <w:rsid w:val="005076BB"/>
    <w:rsid w:val="0051070F"/>
    <w:rsid w:val="00510BFF"/>
    <w:rsid w:val="00514C72"/>
    <w:rsid w:val="00515EAF"/>
    <w:rsid w:val="00520A91"/>
    <w:rsid w:val="005238E5"/>
    <w:rsid w:val="0052690F"/>
    <w:rsid w:val="00530AB1"/>
    <w:rsid w:val="005325CC"/>
    <w:rsid w:val="005372B9"/>
    <w:rsid w:val="005426DA"/>
    <w:rsid w:val="00542ADB"/>
    <w:rsid w:val="00545D87"/>
    <w:rsid w:val="00547EF6"/>
    <w:rsid w:val="00550BB7"/>
    <w:rsid w:val="00551471"/>
    <w:rsid w:val="005526B6"/>
    <w:rsid w:val="00554162"/>
    <w:rsid w:val="00562B78"/>
    <w:rsid w:val="00563ACF"/>
    <w:rsid w:val="00565209"/>
    <w:rsid w:val="005672B4"/>
    <w:rsid w:val="005677B5"/>
    <w:rsid w:val="00567A14"/>
    <w:rsid w:val="00567B53"/>
    <w:rsid w:val="00572321"/>
    <w:rsid w:val="00574FBB"/>
    <w:rsid w:val="00576660"/>
    <w:rsid w:val="00580A3F"/>
    <w:rsid w:val="0058193C"/>
    <w:rsid w:val="00584450"/>
    <w:rsid w:val="00586A4A"/>
    <w:rsid w:val="00590C19"/>
    <w:rsid w:val="00591D0F"/>
    <w:rsid w:val="00592591"/>
    <w:rsid w:val="005958C1"/>
    <w:rsid w:val="0059740A"/>
    <w:rsid w:val="005A03FD"/>
    <w:rsid w:val="005A0460"/>
    <w:rsid w:val="005A1A7C"/>
    <w:rsid w:val="005A2403"/>
    <w:rsid w:val="005A2DCB"/>
    <w:rsid w:val="005B169A"/>
    <w:rsid w:val="005B234E"/>
    <w:rsid w:val="005B6646"/>
    <w:rsid w:val="005B7278"/>
    <w:rsid w:val="005C0DED"/>
    <w:rsid w:val="005C2E98"/>
    <w:rsid w:val="005C3E8B"/>
    <w:rsid w:val="005C4978"/>
    <w:rsid w:val="005C4BD4"/>
    <w:rsid w:val="005C5D27"/>
    <w:rsid w:val="005D021B"/>
    <w:rsid w:val="005D6872"/>
    <w:rsid w:val="005E0CD7"/>
    <w:rsid w:val="005E1D5A"/>
    <w:rsid w:val="005E395B"/>
    <w:rsid w:val="005F3D7A"/>
    <w:rsid w:val="00601339"/>
    <w:rsid w:val="0060138A"/>
    <w:rsid w:val="006024C4"/>
    <w:rsid w:val="00602ACE"/>
    <w:rsid w:val="00604D8C"/>
    <w:rsid w:val="00605CD1"/>
    <w:rsid w:val="0061077A"/>
    <w:rsid w:val="0062050B"/>
    <w:rsid w:val="00621864"/>
    <w:rsid w:val="00622849"/>
    <w:rsid w:val="00626BBF"/>
    <w:rsid w:val="00630916"/>
    <w:rsid w:val="00630A1C"/>
    <w:rsid w:val="0063464F"/>
    <w:rsid w:val="0063472E"/>
    <w:rsid w:val="006361FD"/>
    <w:rsid w:val="00636CA1"/>
    <w:rsid w:val="0064085D"/>
    <w:rsid w:val="00643FE7"/>
    <w:rsid w:val="006461C4"/>
    <w:rsid w:val="00646462"/>
    <w:rsid w:val="00646AEB"/>
    <w:rsid w:val="006502AB"/>
    <w:rsid w:val="00651447"/>
    <w:rsid w:val="006613B4"/>
    <w:rsid w:val="006620F9"/>
    <w:rsid w:val="00666769"/>
    <w:rsid w:val="00667F03"/>
    <w:rsid w:val="00670169"/>
    <w:rsid w:val="00672DB3"/>
    <w:rsid w:val="00682F26"/>
    <w:rsid w:val="00683703"/>
    <w:rsid w:val="00683956"/>
    <w:rsid w:val="0068423B"/>
    <w:rsid w:val="0068481A"/>
    <w:rsid w:val="00686965"/>
    <w:rsid w:val="0068709E"/>
    <w:rsid w:val="006947D1"/>
    <w:rsid w:val="006970B0"/>
    <w:rsid w:val="0069793E"/>
    <w:rsid w:val="00697C16"/>
    <w:rsid w:val="006A25F0"/>
    <w:rsid w:val="006A466E"/>
    <w:rsid w:val="006A6FDE"/>
    <w:rsid w:val="006B1B73"/>
    <w:rsid w:val="006B214B"/>
    <w:rsid w:val="006B34E1"/>
    <w:rsid w:val="006B4C42"/>
    <w:rsid w:val="006C300B"/>
    <w:rsid w:val="006C3286"/>
    <w:rsid w:val="006C4C4D"/>
    <w:rsid w:val="006C4ED0"/>
    <w:rsid w:val="006C6938"/>
    <w:rsid w:val="006D248A"/>
    <w:rsid w:val="006D471D"/>
    <w:rsid w:val="006D4C7C"/>
    <w:rsid w:val="006D5670"/>
    <w:rsid w:val="006D6113"/>
    <w:rsid w:val="006D71E0"/>
    <w:rsid w:val="006E6168"/>
    <w:rsid w:val="006F0121"/>
    <w:rsid w:val="006F1703"/>
    <w:rsid w:val="006F3CE6"/>
    <w:rsid w:val="006F55E3"/>
    <w:rsid w:val="006F62CF"/>
    <w:rsid w:val="00700F52"/>
    <w:rsid w:val="00703133"/>
    <w:rsid w:val="00704E91"/>
    <w:rsid w:val="007062A6"/>
    <w:rsid w:val="0070649C"/>
    <w:rsid w:val="00707243"/>
    <w:rsid w:val="00714542"/>
    <w:rsid w:val="007156A7"/>
    <w:rsid w:val="00715A25"/>
    <w:rsid w:val="007164DB"/>
    <w:rsid w:val="00716C0B"/>
    <w:rsid w:val="00723204"/>
    <w:rsid w:val="00726CEB"/>
    <w:rsid w:val="007344E9"/>
    <w:rsid w:val="007344F3"/>
    <w:rsid w:val="00736696"/>
    <w:rsid w:val="007369D5"/>
    <w:rsid w:val="00736E5F"/>
    <w:rsid w:val="0073741E"/>
    <w:rsid w:val="00737D53"/>
    <w:rsid w:val="00744B67"/>
    <w:rsid w:val="00746987"/>
    <w:rsid w:val="007564FE"/>
    <w:rsid w:val="007641BC"/>
    <w:rsid w:val="00765396"/>
    <w:rsid w:val="00765C11"/>
    <w:rsid w:val="00766F28"/>
    <w:rsid w:val="0077121F"/>
    <w:rsid w:val="00772689"/>
    <w:rsid w:val="00773509"/>
    <w:rsid w:val="00773731"/>
    <w:rsid w:val="00775018"/>
    <w:rsid w:val="0078000D"/>
    <w:rsid w:val="00785A00"/>
    <w:rsid w:val="00786D69"/>
    <w:rsid w:val="00790E9D"/>
    <w:rsid w:val="00791858"/>
    <w:rsid w:val="00792568"/>
    <w:rsid w:val="00794778"/>
    <w:rsid w:val="007A1E50"/>
    <w:rsid w:val="007A2318"/>
    <w:rsid w:val="007A24E3"/>
    <w:rsid w:val="007A6550"/>
    <w:rsid w:val="007A6F8C"/>
    <w:rsid w:val="007B06EB"/>
    <w:rsid w:val="007B1423"/>
    <w:rsid w:val="007B57F7"/>
    <w:rsid w:val="007B58BB"/>
    <w:rsid w:val="007B5DC6"/>
    <w:rsid w:val="007C43F9"/>
    <w:rsid w:val="007C6D13"/>
    <w:rsid w:val="007C6DEE"/>
    <w:rsid w:val="007D14F9"/>
    <w:rsid w:val="007D6DDA"/>
    <w:rsid w:val="007E2216"/>
    <w:rsid w:val="007E31D2"/>
    <w:rsid w:val="007E59F0"/>
    <w:rsid w:val="007E72CF"/>
    <w:rsid w:val="007F2337"/>
    <w:rsid w:val="007F2A10"/>
    <w:rsid w:val="007F5F07"/>
    <w:rsid w:val="00800B38"/>
    <w:rsid w:val="00800C57"/>
    <w:rsid w:val="00801328"/>
    <w:rsid w:val="00802C92"/>
    <w:rsid w:val="00803E0F"/>
    <w:rsid w:val="00805A21"/>
    <w:rsid w:val="0081461E"/>
    <w:rsid w:val="0081516F"/>
    <w:rsid w:val="0082046B"/>
    <w:rsid w:val="00822E76"/>
    <w:rsid w:val="00823C94"/>
    <w:rsid w:val="00827042"/>
    <w:rsid w:val="00830374"/>
    <w:rsid w:val="00837AB1"/>
    <w:rsid w:val="008431BA"/>
    <w:rsid w:val="008443B9"/>
    <w:rsid w:val="008443D4"/>
    <w:rsid w:val="00853F67"/>
    <w:rsid w:val="00854761"/>
    <w:rsid w:val="008557B0"/>
    <w:rsid w:val="008559CB"/>
    <w:rsid w:val="00861818"/>
    <w:rsid w:val="00862953"/>
    <w:rsid w:val="008629DF"/>
    <w:rsid w:val="00863608"/>
    <w:rsid w:val="00863C69"/>
    <w:rsid w:val="0086501F"/>
    <w:rsid w:val="00866252"/>
    <w:rsid w:val="00870D3D"/>
    <w:rsid w:val="008725E9"/>
    <w:rsid w:val="00873490"/>
    <w:rsid w:val="0087719F"/>
    <w:rsid w:val="00877768"/>
    <w:rsid w:val="008800F1"/>
    <w:rsid w:val="00886F44"/>
    <w:rsid w:val="00886F70"/>
    <w:rsid w:val="00891BEB"/>
    <w:rsid w:val="00893D0F"/>
    <w:rsid w:val="00896641"/>
    <w:rsid w:val="00896668"/>
    <w:rsid w:val="008B0595"/>
    <w:rsid w:val="008B0CED"/>
    <w:rsid w:val="008B1D19"/>
    <w:rsid w:val="008B4D79"/>
    <w:rsid w:val="008B55DB"/>
    <w:rsid w:val="008B5690"/>
    <w:rsid w:val="008C00FC"/>
    <w:rsid w:val="008C19AC"/>
    <w:rsid w:val="008C3693"/>
    <w:rsid w:val="008C3B7A"/>
    <w:rsid w:val="008D04E7"/>
    <w:rsid w:val="008D2C3A"/>
    <w:rsid w:val="008D4CA7"/>
    <w:rsid w:val="008D7EAF"/>
    <w:rsid w:val="008E0301"/>
    <w:rsid w:val="008E030F"/>
    <w:rsid w:val="008E0907"/>
    <w:rsid w:val="008E1F55"/>
    <w:rsid w:val="008E629F"/>
    <w:rsid w:val="008E62E9"/>
    <w:rsid w:val="008E7CBF"/>
    <w:rsid w:val="008F188C"/>
    <w:rsid w:val="008F445A"/>
    <w:rsid w:val="008F690F"/>
    <w:rsid w:val="00901DBE"/>
    <w:rsid w:val="00903460"/>
    <w:rsid w:val="0091232F"/>
    <w:rsid w:val="00912E18"/>
    <w:rsid w:val="00917091"/>
    <w:rsid w:val="00921A4C"/>
    <w:rsid w:val="00921EA9"/>
    <w:rsid w:val="00924554"/>
    <w:rsid w:val="00925F1D"/>
    <w:rsid w:val="00926123"/>
    <w:rsid w:val="00926AF4"/>
    <w:rsid w:val="00931FF2"/>
    <w:rsid w:val="0093454D"/>
    <w:rsid w:val="009443B5"/>
    <w:rsid w:val="00952C13"/>
    <w:rsid w:val="00955472"/>
    <w:rsid w:val="00955E00"/>
    <w:rsid w:val="009620CC"/>
    <w:rsid w:val="009627B4"/>
    <w:rsid w:val="009635F6"/>
    <w:rsid w:val="00966073"/>
    <w:rsid w:val="00966DD2"/>
    <w:rsid w:val="00970282"/>
    <w:rsid w:val="0098335A"/>
    <w:rsid w:val="00985B3E"/>
    <w:rsid w:val="009862E0"/>
    <w:rsid w:val="00995294"/>
    <w:rsid w:val="00995AA5"/>
    <w:rsid w:val="00996BEB"/>
    <w:rsid w:val="009976C8"/>
    <w:rsid w:val="009A02BE"/>
    <w:rsid w:val="009A0E1F"/>
    <w:rsid w:val="009A2E50"/>
    <w:rsid w:val="009A71B1"/>
    <w:rsid w:val="009B6B24"/>
    <w:rsid w:val="009C302F"/>
    <w:rsid w:val="009C362E"/>
    <w:rsid w:val="009C3846"/>
    <w:rsid w:val="009C59A6"/>
    <w:rsid w:val="009C5CDC"/>
    <w:rsid w:val="009C64B1"/>
    <w:rsid w:val="009D2314"/>
    <w:rsid w:val="009D2A31"/>
    <w:rsid w:val="009D4A58"/>
    <w:rsid w:val="009D6CAD"/>
    <w:rsid w:val="009E1086"/>
    <w:rsid w:val="009E11DE"/>
    <w:rsid w:val="009E46E6"/>
    <w:rsid w:val="009E63F9"/>
    <w:rsid w:val="009F0ADE"/>
    <w:rsid w:val="009F364F"/>
    <w:rsid w:val="009F369A"/>
    <w:rsid w:val="00A00387"/>
    <w:rsid w:val="00A01179"/>
    <w:rsid w:val="00A025AC"/>
    <w:rsid w:val="00A036B6"/>
    <w:rsid w:val="00A06EBA"/>
    <w:rsid w:val="00A12468"/>
    <w:rsid w:val="00A14182"/>
    <w:rsid w:val="00A22FAC"/>
    <w:rsid w:val="00A232FD"/>
    <w:rsid w:val="00A255B7"/>
    <w:rsid w:val="00A25EE6"/>
    <w:rsid w:val="00A27835"/>
    <w:rsid w:val="00A343F1"/>
    <w:rsid w:val="00A35ADD"/>
    <w:rsid w:val="00A4323C"/>
    <w:rsid w:val="00A43241"/>
    <w:rsid w:val="00A43CA7"/>
    <w:rsid w:val="00A44189"/>
    <w:rsid w:val="00A452F4"/>
    <w:rsid w:val="00A468C4"/>
    <w:rsid w:val="00A525A7"/>
    <w:rsid w:val="00A52674"/>
    <w:rsid w:val="00A5287E"/>
    <w:rsid w:val="00A55612"/>
    <w:rsid w:val="00A56648"/>
    <w:rsid w:val="00A60352"/>
    <w:rsid w:val="00A66ADC"/>
    <w:rsid w:val="00A737FE"/>
    <w:rsid w:val="00A74C32"/>
    <w:rsid w:val="00A75B50"/>
    <w:rsid w:val="00A75C81"/>
    <w:rsid w:val="00A8103A"/>
    <w:rsid w:val="00A83D99"/>
    <w:rsid w:val="00A8500B"/>
    <w:rsid w:val="00A851AB"/>
    <w:rsid w:val="00A8641E"/>
    <w:rsid w:val="00A86F8D"/>
    <w:rsid w:val="00A8771A"/>
    <w:rsid w:val="00A94AA2"/>
    <w:rsid w:val="00A967FA"/>
    <w:rsid w:val="00A96C5B"/>
    <w:rsid w:val="00AA0546"/>
    <w:rsid w:val="00AB026D"/>
    <w:rsid w:val="00AB0BC0"/>
    <w:rsid w:val="00AB1FA6"/>
    <w:rsid w:val="00AB2781"/>
    <w:rsid w:val="00AB32B2"/>
    <w:rsid w:val="00AB64D1"/>
    <w:rsid w:val="00AB6A9C"/>
    <w:rsid w:val="00AC0D71"/>
    <w:rsid w:val="00AC1426"/>
    <w:rsid w:val="00AC14CE"/>
    <w:rsid w:val="00AC3FBB"/>
    <w:rsid w:val="00AD0146"/>
    <w:rsid w:val="00AD29F0"/>
    <w:rsid w:val="00AD2EC9"/>
    <w:rsid w:val="00AD4B81"/>
    <w:rsid w:val="00AD5C43"/>
    <w:rsid w:val="00AD5E6A"/>
    <w:rsid w:val="00AD6BB5"/>
    <w:rsid w:val="00AD7FA9"/>
    <w:rsid w:val="00AE213A"/>
    <w:rsid w:val="00AE260B"/>
    <w:rsid w:val="00AE467E"/>
    <w:rsid w:val="00AE4FBF"/>
    <w:rsid w:val="00AF2729"/>
    <w:rsid w:val="00AF356F"/>
    <w:rsid w:val="00AF51C7"/>
    <w:rsid w:val="00AF7F89"/>
    <w:rsid w:val="00B019E3"/>
    <w:rsid w:val="00B0488C"/>
    <w:rsid w:val="00B0524D"/>
    <w:rsid w:val="00B05CA7"/>
    <w:rsid w:val="00B07744"/>
    <w:rsid w:val="00B13C68"/>
    <w:rsid w:val="00B15AED"/>
    <w:rsid w:val="00B23EC8"/>
    <w:rsid w:val="00B258BF"/>
    <w:rsid w:val="00B25BEA"/>
    <w:rsid w:val="00B265F1"/>
    <w:rsid w:val="00B32A00"/>
    <w:rsid w:val="00B32CD9"/>
    <w:rsid w:val="00B333B1"/>
    <w:rsid w:val="00B3418F"/>
    <w:rsid w:val="00B35E97"/>
    <w:rsid w:val="00B37ECF"/>
    <w:rsid w:val="00B403FB"/>
    <w:rsid w:val="00B40F3A"/>
    <w:rsid w:val="00B439AE"/>
    <w:rsid w:val="00B4636C"/>
    <w:rsid w:val="00B46C76"/>
    <w:rsid w:val="00B470F3"/>
    <w:rsid w:val="00B535F9"/>
    <w:rsid w:val="00B54C3E"/>
    <w:rsid w:val="00B54E91"/>
    <w:rsid w:val="00B54EFD"/>
    <w:rsid w:val="00B55AA1"/>
    <w:rsid w:val="00B568AE"/>
    <w:rsid w:val="00B64B20"/>
    <w:rsid w:val="00B65039"/>
    <w:rsid w:val="00B66359"/>
    <w:rsid w:val="00B67C90"/>
    <w:rsid w:val="00B71251"/>
    <w:rsid w:val="00B73911"/>
    <w:rsid w:val="00B7492E"/>
    <w:rsid w:val="00B75132"/>
    <w:rsid w:val="00B802AD"/>
    <w:rsid w:val="00B86699"/>
    <w:rsid w:val="00B90CCF"/>
    <w:rsid w:val="00B9229B"/>
    <w:rsid w:val="00B93D13"/>
    <w:rsid w:val="00B953EC"/>
    <w:rsid w:val="00B96172"/>
    <w:rsid w:val="00BA1F3B"/>
    <w:rsid w:val="00BA28F3"/>
    <w:rsid w:val="00BA4118"/>
    <w:rsid w:val="00BA5C86"/>
    <w:rsid w:val="00BA64CF"/>
    <w:rsid w:val="00BA7A09"/>
    <w:rsid w:val="00BB1CA0"/>
    <w:rsid w:val="00BB6A45"/>
    <w:rsid w:val="00BC1A15"/>
    <w:rsid w:val="00BD1323"/>
    <w:rsid w:val="00BD1FFC"/>
    <w:rsid w:val="00BD3835"/>
    <w:rsid w:val="00BD4D02"/>
    <w:rsid w:val="00BD5D54"/>
    <w:rsid w:val="00BD74D2"/>
    <w:rsid w:val="00BE071A"/>
    <w:rsid w:val="00BE1405"/>
    <w:rsid w:val="00BE14F6"/>
    <w:rsid w:val="00BF49BC"/>
    <w:rsid w:val="00BF4AD4"/>
    <w:rsid w:val="00BF5380"/>
    <w:rsid w:val="00BF5464"/>
    <w:rsid w:val="00BF6823"/>
    <w:rsid w:val="00BF6EC2"/>
    <w:rsid w:val="00C02019"/>
    <w:rsid w:val="00C02D06"/>
    <w:rsid w:val="00C06391"/>
    <w:rsid w:val="00C06571"/>
    <w:rsid w:val="00C11076"/>
    <w:rsid w:val="00C124BD"/>
    <w:rsid w:val="00C15BDB"/>
    <w:rsid w:val="00C16AA6"/>
    <w:rsid w:val="00C2582E"/>
    <w:rsid w:val="00C33956"/>
    <w:rsid w:val="00C345A6"/>
    <w:rsid w:val="00C34C4D"/>
    <w:rsid w:val="00C34DBF"/>
    <w:rsid w:val="00C35754"/>
    <w:rsid w:val="00C368B3"/>
    <w:rsid w:val="00C405F1"/>
    <w:rsid w:val="00C4720A"/>
    <w:rsid w:val="00C47D24"/>
    <w:rsid w:val="00C519A0"/>
    <w:rsid w:val="00C55612"/>
    <w:rsid w:val="00C55D41"/>
    <w:rsid w:val="00C563AC"/>
    <w:rsid w:val="00C57FD5"/>
    <w:rsid w:val="00C60B26"/>
    <w:rsid w:val="00C62688"/>
    <w:rsid w:val="00C630D4"/>
    <w:rsid w:val="00C639A7"/>
    <w:rsid w:val="00C710C7"/>
    <w:rsid w:val="00C72372"/>
    <w:rsid w:val="00C737C5"/>
    <w:rsid w:val="00C74B4E"/>
    <w:rsid w:val="00C754BB"/>
    <w:rsid w:val="00C8126D"/>
    <w:rsid w:val="00C822A9"/>
    <w:rsid w:val="00C827F3"/>
    <w:rsid w:val="00C83580"/>
    <w:rsid w:val="00C84829"/>
    <w:rsid w:val="00C86AC9"/>
    <w:rsid w:val="00C900E9"/>
    <w:rsid w:val="00C903F1"/>
    <w:rsid w:val="00C92718"/>
    <w:rsid w:val="00C932A3"/>
    <w:rsid w:val="00CA1822"/>
    <w:rsid w:val="00CA334A"/>
    <w:rsid w:val="00CA401B"/>
    <w:rsid w:val="00CA44B8"/>
    <w:rsid w:val="00CA61D9"/>
    <w:rsid w:val="00CA6519"/>
    <w:rsid w:val="00CB1724"/>
    <w:rsid w:val="00CB2A82"/>
    <w:rsid w:val="00CB3F05"/>
    <w:rsid w:val="00CB46EE"/>
    <w:rsid w:val="00CC04DE"/>
    <w:rsid w:val="00CC0BE4"/>
    <w:rsid w:val="00CC7697"/>
    <w:rsid w:val="00CD014E"/>
    <w:rsid w:val="00CD0532"/>
    <w:rsid w:val="00CD4BC5"/>
    <w:rsid w:val="00CD5741"/>
    <w:rsid w:val="00CE0355"/>
    <w:rsid w:val="00CE0A8B"/>
    <w:rsid w:val="00CE0BF8"/>
    <w:rsid w:val="00CE1E12"/>
    <w:rsid w:val="00CE2A5D"/>
    <w:rsid w:val="00CE392B"/>
    <w:rsid w:val="00CF0157"/>
    <w:rsid w:val="00CF0C85"/>
    <w:rsid w:val="00CF1025"/>
    <w:rsid w:val="00CF4877"/>
    <w:rsid w:val="00D00626"/>
    <w:rsid w:val="00D00A80"/>
    <w:rsid w:val="00D11B6A"/>
    <w:rsid w:val="00D130D8"/>
    <w:rsid w:val="00D14E58"/>
    <w:rsid w:val="00D15547"/>
    <w:rsid w:val="00D17C66"/>
    <w:rsid w:val="00D203E4"/>
    <w:rsid w:val="00D205BD"/>
    <w:rsid w:val="00D21DBF"/>
    <w:rsid w:val="00D221C7"/>
    <w:rsid w:val="00D23474"/>
    <w:rsid w:val="00D27810"/>
    <w:rsid w:val="00D32AA9"/>
    <w:rsid w:val="00D42DAC"/>
    <w:rsid w:val="00D504BC"/>
    <w:rsid w:val="00D579A9"/>
    <w:rsid w:val="00D57F16"/>
    <w:rsid w:val="00D62167"/>
    <w:rsid w:val="00D64E1F"/>
    <w:rsid w:val="00D652EA"/>
    <w:rsid w:val="00D7218F"/>
    <w:rsid w:val="00D7273D"/>
    <w:rsid w:val="00D72CDC"/>
    <w:rsid w:val="00D7497E"/>
    <w:rsid w:val="00D801DD"/>
    <w:rsid w:val="00D816BD"/>
    <w:rsid w:val="00D835A7"/>
    <w:rsid w:val="00D90F47"/>
    <w:rsid w:val="00D9198B"/>
    <w:rsid w:val="00D92760"/>
    <w:rsid w:val="00D95BF6"/>
    <w:rsid w:val="00DA10C4"/>
    <w:rsid w:val="00DA795E"/>
    <w:rsid w:val="00DB07BA"/>
    <w:rsid w:val="00DB0A22"/>
    <w:rsid w:val="00DB1ECA"/>
    <w:rsid w:val="00DB20EA"/>
    <w:rsid w:val="00DB2114"/>
    <w:rsid w:val="00DB27A0"/>
    <w:rsid w:val="00DB3583"/>
    <w:rsid w:val="00DB550F"/>
    <w:rsid w:val="00DC0992"/>
    <w:rsid w:val="00DC260E"/>
    <w:rsid w:val="00DC6670"/>
    <w:rsid w:val="00DC68A2"/>
    <w:rsid w:val="00DC6FD3"/>
    <w:rsid w:val="00DD048E"/>
    <w:rsid w:val="00DD4631"/>
    <w:rsid w:val="00DD63E8"/>
    <w:rsid w:val="00DD6CA2"/>
    <w:rsid w:val="00DE3112"/>
    <w:rsid w:val="00DE390D"/>
    <w:rsid w:val="00DE40FB"/>
    <w:rsid w:val="00DE449E"/>
    <w:rsid w:val="00DF2549"/>
    <w:rsid w:val="00DF2E43"/>
    <w:rsid w:val="00DF48C4"/>
    <w:rsid w:val="00DF4B5C"/>
    <w:rsid w:val="00DF5637"/>
    <w:rsid w:val="00E044F8"/>
    <w:rsid w:val="00E0494F"/>
    <w:rsid w:val="00E060E1"/>
    <w:rsid w:val="00E10F5E"/>
    <w:rsid w:val="00E11251"/>
    <w:rsid w:val="00E11AD0"/>
    <w:rsid w:val="00E137F7"/>
    <w:rsid w:val="00E144D8"/>
    <w:rsid w:val="00E14F43"/>
    <w:rsid w:val="00E21E61"/>
    <w:rsid w:val="00E2212E"/>
    <w:rsid w:val="00E23D0B"/>
    <w:rsid w:val="00E27A7F"/>
    <w:rsid w:val="00E3115B"/>
    <w:rsid w:val="00E319FD"/>
    <w:rsid w:val="00E330D1"/>
    <w:rsid w:val="00E33E8E"/>
    <w:rsid w:val="00E35CB1"/>
    <w:rsid w:val="00E43464"/>
    <w:rsid w:val="00E452B2"/>
    <w:rsid w:val="00E47453"/>
    <w:rsid w:val="00E47458"/>
    <w:rsid w:val="00E53279"/>
    <w:rsid w:val="00E56B8A"/>
    <w:rsid w:val="00E57C7F"/>
    <w:rsid w:val="00E603C5"/>
    <w:rsid w:val="00E61B95"/>
    <w:rsid w:val="00E62C5E"/>
    <w:rsid w:val="00E630BF"/>
    <w:rsid w:val="00E63C9E"/>
    <w:rsid w:val="00E65322"/>
    <w:rsid w:val="00E67230"/>
    <w:rsid w:val="00E70B12"/>
    <w:rsid w:val="00E73091"/>
    <w:rsid w:val="00E73434"/>
    <w:rsid w:val="00E747F4"/>
    <w:rsid w:val="00E755F1"/>
    <w:rsid w:val="00E75D63"/>
    <w:rsid w:val="00E8129C"/>
    <w:rsid w:val="00E822A7"/>
    <w:rsid w:val="00E82EDE"/>
    <w:rsid w:val="00E83BA1"/>
    <w:rsid w:val="00E83BAE"/>
    <w:rsid w:val="00E85EDC"/>
    <w:rsid w:val="00E86FC6"/>
    <w:rsid w:val="00E90CAE"/>
    <w:rsid w:val="00E96CDB"/>
    <w:rsid w:val="00E96D66"/>
    <w:rsid w:val="00E96ECB"/>
    <w:rsid w:val="00E974FB"/>
    <w:rsid w:val="00EA24D5"/>
    <w:rsid w:val="00EA2615"/>
    <w:rsid w:val="00EA380D"/>
    <w:rsid w:val="00EA6BDF"/>
    <w:rsid w:val="00EB55E1"/>
    <w:rsid w:val="00EB5F9C"/>
    <w:rsid w:val="00EB67D4"/>
    <w:rsid w:val="00EB7E64"/>
    <w:rsid w:val="00EB7FDB"/>
    <w:rsid w:val="00EC0201"/>
    <w:rsid w:val="00EC0DBD"/>
    <w:rsid w:val="00EC3526"/>
    <w:rsid w:val="00EC5D74"/>
    <w:rsid w:val="00EC7A31"/>
    <w:rsid w:val="00ED023C"/>
    <w:rsid w:val="00ED146B"/>
    <w:rsid w:val="00ED1C43"/>
    <w:rsid w:val="00ED3EC5"/>
    <w:rsid w:val="00ED4777"/>
    <w:rsid w:val="00ED75CA"/>
    <w:rsid w:val="00EE2367"/>
    <w:rsid w:val="00EE5171"/>
    <w:rsid w:val="00EE7B0E"/>
    <w:rsid w:val="00EF0D3B"/>
    <w:rsid w:val="00EF3E61"/>
    <w:rsid w:val="00EF4358"/>
    <w:rsid w:val="00EF4732"/>
    <w:rsid w:val="00F02AAA"/>
    <w:rsid w:val="00F03A31"/>
    <w:rsid w:val="00F05779"/>
    <w:rsid w:val="00F05DDD"/>
    <w:rsid w:val="00F07FEA"/>
    <w:rsid w:val="00F100FF"/>
    <w:rsid w:val="00F1214E"/>
    <w:rsid w:val="00F138ED"/>
    <w:rsid w:val="00F158C3"/>
    <w:rsid w:val="00F167D4"/>
    <w:rsid w:val="00F20974"/>
    <w:rsid w:val="00F21ACF"/>
    <w:rsid w:val="00F244EB"/>
    <w:rsid w:val="00F27771"/>
    <w:rsid w:val="00F2782B"/>
    <w:rsid w:val="00F31A28"/>
    <w:rsid w:val="00F3741C"/>
    <w:rsid w:val="00F37D7B"/>
    <w:rsid w:val="00F424D1"/>
    <w:rsid w:val="00F51FCE"/>
    <w:rsid w:val="00F53204"/>
    <w:rsid w:val="00F54D59"/>
    <w:rsid w:val="00F57701"/>
    <w:rsid w:val="00F60954"/>
    <w:rsid w:val="00F65838"/>
    <w:rsid w:val="00F66C71"/>
    <w:rsid w:val="00F76D55"/>
    <w:rsid w:val="00F83888"/>
    <w:rsid w:val="00F83DF3"/>
    <w:rsid w:val="00F843D0"/>
    <w:rsid w:val="00F8518C"/>
    <w:rsid w:val="00F87252"/>
    <w:rsid w:val="00F87E6D"/>
    <w:rsid w:val="00F90BB1"/>
    <w:rsid w:val="00F9113A"/>
    <w:rsid w:val="00F914BB"/>
    <w:rsid w:val="00F97351"/>
    <w:rsid w:val="00FA0DF4"/>
    <w:rsid w:val="00FA0E8E"/>
    <w:rsid w:val="00FA2978"/>
    <w:rsid w:val="00FB1990"/>
    <w:rsid w:val="00FB447E"/>
    <w:rsid w:val="00FB5B4C"/>
    <w:rsid w:val="00FB62BC"/>
    <w:rsid w:val="00FC24EF"/>
    <w:rsid w:val="00FC70C0"/>
    <w:rsid w:val="00FD0312"/>
    <w:rsid w:val="00FD1F3F"/>
    <w:rsid w:val="00FD2B25"/>
    <w:rsid w:val="00FE5156"/>
    <w:rsid w:val="00FE7369"/>
    <w:rsid w:val="00FF1CFC"/>
    <w:rsid w:val="00FF396B"/>
    <w:rsid w:val="00FF497E"/>
    <w:rsid w:val="00FF7E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9A73F8"/>
  <w15:chartTrackingRefBased/>
  <w15:docId w15:val="{18BC2A4D-1156-4404-8A03-8B40C1BE4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able of figures"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02BE"/>
    <w:rPr>
      <w:sz w:val="24"/>
      <w:szCs w:val="24"/>
    </w:rPr>
  </w:style>
  <w:style w:type="paragraph" w:styleId="Heading1">
    <w:name w:val="heading 1"/>
    <w:basedOn w:val="Normal"/>
    <w:next w:val="FRPCintPara"/>
    <w:link w:val="Heading1Char"/>
    <w:uiPriority w:val="9"/>
    <w:qFormat/>
    <w:rsid w:val="00244FC9"/>
    <w:pPr>
      <w:keepNext/>
      <w:numPr>
        <w:numId w:val="2"/>
      </w:numPr>
      <w:spacing w:before="240" w:after="60"/>
      <w:outlineLvl w:val="0"/>
    </w:pPr>
    <w:rPr>
      <w:rFonts w:ascii="Calibri Light" w:hAnsi="Calibri Light"/>
      <w:b/>
      <w:bCs/>
      <w:color w:val="FF0000"/>
      <w:kern w:val="32"/>
      <w:sz w:val="28"/>
      <w:szCs w:val="28"/>
    </w:rPr>
  </w:style>
  <w:style w:type="paragraph" w:styleId="Heading2">
    <w:name w:val="heading 2"/>
    <w:basedOn w:val="Normal"/>
    <w:next w:val="FRPCintPara"/>
    <w:link w:val="Heading2Char"/>
    <w:unhideWhenUsed/>
    <w:qFormat/>
    <w:rsid w:val="00212B82"/>
    <w:pPr>
      <w:keepNext/>
      <w:numPr>
        <w:ilvl w:val="1"/>
        <w:numId w:val="2"/>
      </w:numPr>
      <w:spacing w:before="240" w:after="60"/>
      <w:outlineLvl w:val="1"/>
    </w:pPr>
    <w:rPr>
      <w:rFonts w:ascii="Calibri Light" w:hAnsi="Calibri Light"/>
      <w:b/>
      <w:bCs/>
      <w:color w:val="FF0000"/>
    </w:rPr>
  </w:style>
  <w:style w:type="paragraph" w:styleId="Heading3">
    <w:name w:val="heading 3"/>
    <w:basedOn w:val="Normal"/>
    <w:next w:val="FRPCintPara"/>
    <w:link w:val="Heading3Char"/>
    <w:unhideWhenUsed/>
    <w:qFormat/>
    <w:rsid w:val="006361FD"/>
    <w:pPr>
      <w:keepNext/>
      <w:numPr>
        <w:ilvl w:val="2"/>
        <w:numId w:val="2"/>
      </w:numPr>
      <w:spacing w:before="240" w:after="60"/>
      <w:ind w:hanging="720"/>
      <w:outlineLvl w:val="2"/>
    </w:pPr>
    <w:rPr>
      <w:rFonts w:ascii="Calibri Light" w:hAnsi="Calibri Light"/>
      <w:b/>
      <w:bCs/>
      <w:i/>
      <w:iCs/>
      <w:color w:val="FF0000"/>
      <w:sz w:val="22"/>
      <w:szCs w:val="22"/>
    </w:rPr>
  </w:style>
  <w:style w:type="paragraph" w:styleId="Heading4">
    <w:name w:val="heading 4"/>
    <w:basedOn w:val="Normal"/>
    <w:next w:val="FRPCintPara"/>
    <w:link w:val="Heading4Char"/>
    <w:unhideWhenUsed/>
    <w:qFormat/>
    <w:rsid w:val="001822A7"/>
    <w:pPr>
      <w:keepNext/>
      <w:numPr>
        <w:ilvl w:val="3"/>
        <w:numId w:val="2"/>
      </w:numPr>
      <w:spacing w:before="240" w:after="60"/>
      <w:ind w:hanging="720"/>
      <w:outlineLvl w:val="3"/>
    </w:pPr>
    <w:rPr>
      <w:rFonts w:ascii="Calibri" w:hAnsi="Calibri" w:cs="Calibri"/>
      <w:b/>
      <w:bCs/>
      <w:color w:val="FF0000"/>
      <w:sz w:val="22"/>
      <w:szCs w:val="22"/>
    </w:rPr>
  </w:style>
  <w:style w:type="paragraph" w:styleId="Heading5">
    <w:name w:val="heading 5"/>
    <w:basedOn w:val="Normal"/>
    <w:next w:val="Normal"/>
    <w:link w:val="Heading5Char"/>
    <w:unhideWhenUsed/>
    <w:qFormat/>
    <w:rsid w:val="001822A7"/>
    <w:pPr>
      <w:numPr>
        <w:ilvl w:val="4"/>
        <w:numId w:val="2"/>
      </w:numPr>
      <w:spacing w:before="240" w:after="60"/>
      <w:ind w:left="720"/>
      <w:outlineLvl w:val="4"/>
    </w:pPr>
    <w:rPr>
      <w:rFonts w:ascii="Calibri" w:hAnsi="Calibri" w:cs="Calibri"/>
      <w:sz w:val="22"/>
      <w:szCs w:val="22"/>
      <w:u w:val="single"/>
    </w:rPr>
  </w:style>
  <w:style w:type="paragraph" w:styleId="Heading6">
    <w:name w:val="heading 6"/>
    <w:basedOn w:val="Normal"/>
    <w:next w:val="Normal"/>
    <w:link w:val="Heading6Char"/>
    <w:semiHidden/>
    <w:unhideWhenUsed/>
    <w:qFormat/>
    <w:rsid w:val="00244FC9"/>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244FC9"/>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244FC9"/>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244FC9"/>
    <w:pPr>
      <w:numPr>
        <w:ilvl w:val="8"/>
        <w:numId w:val="2"/>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PCintPara">
    <w:name w:val="FRPCintPara"/>
    <w:qFormat/>
    <w:rsid w:val="002B134F"/>
    <w:pPr>
      <w:numPr>
        <w:numId w:val="1"/>
      </w:numPr>
      <w:spacing w:after="240"/>
      <w:ind w:hanging="720"/>
    </w:pPr>
    <w:rPr>
      <w:rFonts w:ascii="Calibri" w:hAnsi="Calibri"/>
      <w:sz w:val="24"/>
      <w:szCs w:val="24"/>
    </w:rPr>
  </w:style>
  <w:style w:type="character" w:customStyle="1" w:styleId="Heading1Char">
    <w:name w:val="Heading 1 Char"/>
    <w:link w:val="Heading1"/>
    <w:uiPriority w:val="9"/>
    <w:rsid w:val="00244FC9"/>
    <w:rPr>
      <w:rFonts w:ascii="Calibri Light" w:hAnsi="Calibri Light"/>
      <w:b/>
      <w:bCs/>
      <w:color w:val="FF0000"/>
      <w:kern w:val="32"/>
      <w:sz w:val="28"/>
      <w:szCs w:val="28"/>
    </w:rPr>
  </w:style>
  <w:style w:type="character" w:customStyle="1" w:styleId="Heading2Char">
    <w:name w:val="Heading 2 Char"/>
    <w:link w:val="Heading2"/>
    <w:rsid w:val="00212B82"/>
    <w:rPr>
      <w:rFonts w:ascii="Calibri Light" w:hAnsi="Calibri Light"/>
      <w:b/>
      <w:bCs/>
      <w:color w:val="FF0000"/>
      <w:sz w:val="24"/>
      <w:szCs w:val="24"/>
    </w:rPr>
  </w:style>
  <w:style w:type="character" w:customStyle="1" w:styleId="Heading3Char">
    <w:name w:val="Heading 3 Char"/>
    <w:link w:val="Heading3"/>
    <w:rsid w:val="006361FD"/>
    <w:rPr>
      <w:rFonts w:ascii="Calibri Light" w:hAnsi="Calibri Light"/>
      <w:b/>
      <w:bCs/>
      <w:i/>
      <w:iCs/>
      <w:color w:val="FF0000"/>
      <w:sz w:val="22"/>
      <w:szCs w:val="22"/>
    </w:rPr>
  </w:style>
  <w:style w:type="character" w:customStyle="1" w:styleId="Heading4Char">
    <w:name w:val="Heading 4 Char"/>
    <w:link w:val="Heading4"/>
    <w:rsid w:val="001822A7"/>
    <w:rPr>
      <w:rFonts w:ascii="Calibri" w:hAnsi="Calibri" w:cs="Calibri"/>
      <w:b/>
      <w:bCs/>
      <w:color w:val="FF0000"/>
      <w:sz w:val="22"/>
      <w:szCs w:val="22"/>
    </w:rPr>
  </w:style>
  <w:style w:type="character" w:customStyle="1" w:styleId="Heading5Char">
    <w:name w:val="Heading 5 Char"/>
    <w:link w:val="Heading5"/>
    <w:rsid w:val="001822A7"/>
    <w:rPr>
      <w:rFonts w:ascii="Calibri" w:hAnsi="Calibri" w:cs="Calibri"/>
      <w:sz w:val="22"/>
      <w:szCs w:val="22"/>
      <w:u w:val="single"/>
    </w:rPr>
  </w:style>
  <w:style w:type="character" w:customStyle="1" w:styleId="Heading6Char">
    <w:name w:val="Heading 6 Char"/>
    <w:link w:val="Heading6"/>
    <w:semiHidden/>
    <w:rsid w:val="00244FC9"/>
    <w:rPr>
      <w:rFonts w:ascii="Calibri" w:hAnsi="Calibri"/>
      <w:b/>
      <w:bCs/>
      <w:sz w:val="22"/>
      <w:szCs w:val="22"/>
    </w:rPr>
  </w:style>
  <w:style w:type="character" w:customStyle="1" w:styleId="Heading7Char">
    <w:name w:val="Heading 7 Char"/>
    <w:link w:val="Heading7"/>
    <w:semiHidden/>
    <w:rsid w:val="00244FC9"/>
    <w:rPr>
      <w:rFonts w:ascii="Calibri" w:hAnsi="Calibri"/>
      <w:sz w:val="24"/>
      <w:szCs w:val="24"/>
    </w:rPr>
  </w:style>
  <w:style w:type="character" w:customStyle="1" w:styleId="Heading8Char">
    <w:name w:val="Heading 8 Char"/>
    <w:link w:val="Heading8"/>
    <w:semiHidden/>
    <w:rsid w:val="00244FC9"/>
    <w:rPr>
      <w:rFonts w:ascii="Calibri" w:hAnsi="Calibri"/>
      <w:i/>
      <w:iCs/>
      <w:sz w:val="24"/>
      <w:szCs w:val="24"/>
    </w:rPr>
  </w:style>
  <w:style w:type="character" w:customStyle="1" w:styleId="Heading9Char">
    <w:name w:val="Heading 9 Char"/>
    <w:link w:val="Heading9"/>
    <w:semiHidden/>
    <w:rsid w:val="00244FC9"/>
    <w:rPr>
      <w:rFonts w:ascii="Calibri Light" w:hAnsi="Calibri Light"/>
      <w:sz w:val="22"/>
      <w:szCs w:val="22"/>
    </w:rPr>
  </w:style>
  <w:style w:type="character" w:styleId="Hyperlink">
    <w:name w:val="Hyperlink"/>
    <w:uiPriority w:val="99"/>
    <w:rsid w:val="002068FF"/>
    <w:rPr>
      <w:color w:val="0000FF"/>
      <w:u w:val="single"/>
    </w:rPr>
  </w:style>
  <w:style w:type="paragraph" w:styleId="Header">
    <w:name w:val="header"/>
    <w:basedOn w:val="Normal"/>
    <w:link w:val="HeaderChar"/>
    <w:rsid w:val="00EB7E64"/>
    <w:pPr>
      <w:tabs>
        <w:tab w:val="center" w:pos="4680"/>
        <w:tab w:val="right" w:pos="9360"/>
      </w:tabs>
    </w:pPr>
  </w:style>
  <w:style w:type="character" w:customStyle="1" w:styleId="HeaderChar">
    <w:name w:val="Header Char"/>
    <w:link w:val="Header"/>
    <w:rsid w:val="00EB7E64"/>
    <w:rPr>
      <w:rFonts w:ascii="Calibri" w:hAnsi="Calibri"/>
      <w:sz w:val="24"/>
      <w:szCs w:val="24"/>
    </w:rPr>
  </w:style>
  <w:style w:type="paragraph" w:styleId="Footer">
    <w:name w:val="footer"/>
    <w:basedOn w:val="Normal"/>
    <w:link w:val="FooterChar"/>
    <w:rsid w:val="00EB7E64"/>
    <w:pPr>
      <w:tabs>
        <w:tab w:val="center" w:pos="4680"/>
        <w:tab w:val="right" w:pos="9360"/>
      </w:tabs>
    </w:pPr>
  </w:style>
  <w:style w:type="character" w:customStyle="1" w:styleId="FooterChar">
    <w:name w:val="Footer Char"/>
    <w:link w:val="Footer"/>
    <w:rsid w:val="00EB7E64"/>
    <w:rPr>
      <w:rFonts w:ascii="Calibri" w:hAnsi="Calibri"/>
      <w:sz w:val="24"/>
      <w:szCs w:val="24"/>
    </w:rPr>
  </w:style>
  <w:style w:type="table" w:styleId="TableGrid">
    <w:name w:val="Table Grid"/>
    <w:basedOn w:val="TableNormal"/>
    <w:uiPriority w:val="39"/>
    <w:rsid w:val="00EB7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6F62CF"/>
    <w:rPr>
      <w:color w:val="605E5C"/>
      <w:shd w:val="clear" w:color="auto" w:fill="E1DFDD"/>
    </w:rPr>
  </w:style>
  <w:style w:type="paragraph" w:styleId="FootnoteText">
    <w:name w:val="footnote text"/>
    <w:link w:val="FootnoteTextChar"/>
    <w:rsid w:val="000C6F93"/>
    <w:rPr>
      <w:rFonts w:ascii="Calibri" w:hAnsi="Calibri"/>
    </w:rPr>
  </w:style>
  <w:style w:type="character" w:customStyle="1" w:styleId="FootnoteTextChar">
    <w:name w:val="Footnote Text Char"/>
    <w:link w:val="FootnoteText"/>
    <w:rsid w:val="000C6F93"/>
    <w:rPr>
      <w:rFonts w:ascii="Calibri" w:hAnsi="Calibri"/>
    </w:rPr>
  </w:style>
  <w:style w:type="character" w:styleId="FootnoteReference">
    <w:name w:val="footnote reference"/>
    <w:rsid w:val="009C59A6"/>
    <w:rPr>
      <w:vertAlign w:val="superscript"/>
    </w:rPr>
  </w:style>
  <w:style w:type="paragraph" w:customStyle="1" w:styleId="FRPCquote">
    <w:name w:val="FRPCquote"/>
    <w:basedOn w:val="FRPCintPara"/>
    <w:qFormat/>
    <w:rsid w:val="008443B9"/>
    <w:pPr>
      <w:numPr>
        <w:numId w:val="0"/>
      </w:numPr>
      <w:spacing w:after="120"/>
      <w:ind w:left="1440" w:right="720"/>
      <w:jc w:val="both"/>
    </w:pPr>
    <w:rPr>
      <w:sz w:val="22"/>
      <w:szCs w:val="22"/>
    </w:rPr>
  </w:style>
  <w:style w:type="paragraph" w:styleId="TOC1">
    <w:name w:val="toc 1"/>
    <w:basedOn w:val="Normal"/>
    <w:next w:val="Normal"/>
    <w:autoRedefine/>
    <w:uiPriority w:val="39"/>
    <w:rsid w:val="0062050B"/>
    <w:pPr>
      <w:tabs>
        <w:tab w:val="left" w:pos="540"/>
        <w:tab w:val="right" w:pos="9350"/>
      </w:tabs>
      <w:spacing w:before="240"/>
      <w:ind w:left="547" w:hanging="547"/>
    </w:pPr>
    <w:rPr>
      <w:rFonts w:ascii="Calibri" w:hAnsi="Calibri" w:cs="Calibri"/>
      <w:b/>
      <w:bCs/>
      <w:noProof/>
      <w:color w:val="FF0000"/>
    </w:rPr>
  </w:style>
  <w:style w:type="paragraph" w:styleId="TOC2">
    <w:name w:val="toc 2"/>
    <w:basedOn w:val="Normal"/>
    <w:next w:val="Normal"/>
    <w:autoRedefine/>
    <w:uiPriority w:val="39"/>
    <w:rsid w:val="00181953"/>
    <w:pPr>
      <w:tabs>
        <w:tab w:val="left" w:pos="1080"/>
        <w:tab w:val="right" w:pos="9350"/>
      </w:tabs>
      <w:ind w:left="1080" w:hanging="540"/>
    </w:pPr>
    <w:rPr>
      <w:rFonts w:ascii="Calibri" w:hAnsi="Calibri"/>
      <w:noProof/>
      <w:color w:val="FF0000"/>
    </w:rPr>
  </w:style>
  <w:style w:type="paragraph" w:styleId="TOC3">
    <w:name w:val="toc 3"/>
    <w:basedOn w:val="Normal"/>
    <w:next w:val="Normal"/>
    <w:autoRedefine/>
    <w:uiPriority w:val="39"/>
    <w:rsid w:val="00181953"/>
    <w:pPr>
      <w:tabs>
        <w:tab w:val="left" w:pos="1620"/>
        <w:tab w:val="right" w:pos="9350"/>
      </w:tabs>
      <w:ind w:left="1620" w:hanging="540"/>
    </w:pPr>
    <w:rPr>
      <w:rFonts w:ascii="Calibri" w:hAnsi="Calibri"/>
    </w:rPr>
  </w:style>
  <w:style w:type="paragraph" w:styleId="TOC4">
    <w:name w:val="toc 4"/>
    <w:basedOn w:val="Normal"/>
    <w:next w:val="Normal"/>
    <w:autoRedefine/>
    <w:uiPriority w:val="39"/>
    <w:rsid w:val="00C405F1"/>
    <w:pPr>
      <w:tabs>
        <w:tab w:val="left" w:pos="1620"/>
        <w:tab w:val="right" w:pos="9350"/>
      </w:tabs>
      <w:ind w:left="2160" w:hanging="540"/>
    </w:pPr>
    <w:rPr>
      <w:rFonts w:asciiTheme="minorHAnsi" w:hAnsiTheme="minorHAnsi" w:cstheme="minorHAnsi"/>
      <w:noProof/>
    </w:rPr>
  </w:style>
  <w:style w:type="paragraph" w:styleId="Caption">
    <w:name w:val="caption"/>
    <w:basedOn w:val="Normal"/>
    <w:next w:val="Normal"/>
    <w:unhideWhenUsed/>
    <w:qFormat/>
    <w:rsid w:val="003E0531"/>
    <w:rPr>
      <w:rFonts w:ascii="Calibri" w:hAnsi="Calibri" w:cs="Calibri"/>
      <w:b/>
      <w:bCs/>
      <w:color w:val="FF0000"/>
    </w:rPr>
  </w:style>
  <w:style w:type="paragraph" w:styleId="NormalWeb">
    <w:name w:val="Normal (Web)"/>
    <w:basedOn w:val="Normal"/>
    <w:rsid w:val="00A44189"/>
  </w:style>
  <w:style w:type="paragraph" w:customStyle="1" w:styleId="BulletText">
    <w:name w:val="BulletText"/>
    <w:qFormat/>
    <w:rsid w:val="00B802AD"/>
    <w:pPr>
      <w:numPr>
        <w:numId w:val="3"/>
      </w:numPr>
      <w:ind w:left="1440" w:hanging="720"/>
    </w:pPr>
    <w:rPr>
      <w:rFonts w:ascii="Calibri" w:hAnsi="Calibri"/>
      <w:sz w:val="24"/>
      <w:szCs w:val="24"/>
    </w:rPr>
  </w:style>
  <w:style w:type="paragraph" w:customStyle="1" w:styleId="Table">
    <w:name w:val="Table"/>
    <w:qFormat/>
    <w:rsid w:val="003E0531"/>
    <w:pPr>
      <w:ind w:left="86"/>
    </w:pPr>
    <w:rPr>
      <w:rFonts w:ascii="Calibri" w:hAnsi="Calibri"/>
      <w:sz w:val="22"/>
      <w:szCs w:val="22"/>
    </w:rPr>
  </w:style>
  <w:style w:type="paragraph" w:styleId="NoSpacing">
    <w:name w:val="No Spacing"/>
    <w:link w:val="NoSpacingChar"/>
    <w:uiPriority w:val="1"/>
    <w:qFormat/>
    <w:rsid w:val="00EC7A31"/>
    <w:rPr>
      <w:rFonts w:ascii="Calibri" w:hAnsi="Calibri"/>
      <w:sz w:val="22"/>
      <w:szCs w:val="22"/>
      <w:lang w:val="en-US" w:eastAsia="en-US"/>
    </w:rPr>
  </w:style>
  <w:style w:type="character" w:customStyle="1" w:styleId="NoSpacingChar">
    <w:name w:val="No Spacing Char"/>
    <w:link w:val="NoSpacing"/>
    <w:uiPriority w:val="1"/>
    <w:rsid w:val="00EC7A31"/>
    <w:rPr>
      <w:rFonts w:ascii="Calibri" w:hAnsi="Calibri"/>
      <w:sz w:val="22"/>
      <w:szCs w:val="22"/>
      <w:lang w:val="en-US" w:eastAsia="en-US"/>
    </w:rPr>
  </w:style>
  <w:style w:type="paragraph" w:styleId="ListParagraph">
    <w:name w:val="List Paragraph"/>
    <w:basedOn w:val="Normal"/>
    <w:uiPriority w:val="34"/>
    <w:qFormat/>
    <w:rsid w:val="00EC7A31"/>
    <w:pPr>
      <w:spacing w:after="200" w:line="276" w:lineRule="auto"/>
      <w:ind w:left="720"/>
      <w:contextualSpacing/>
    </w:pPr>
    <w:rPr>
      <w:rFonts w:ascii="Verdana" w:eastAsia="Calibri" w:hAnsi="Verdana"/>
      <w:szCs w:val="22"/>
      <w:lang w:val="en-US" w:eastAsia="en-US"/>
    </w:rPr>
  </w:style>
  <w:style w:type="character" w:styleId="FollowedHyperlink">
    <w:name w:val="FollowedHyperlink"/>
    <w:uiPriority w:val="99"/>
    <w:rsid w:val="001032BB"/>
    <w:rPr>
      <w:color w:val="954F72"/>
      <w:u w:val="single"/>
    </w:rPr>
  </w:style>
  <w:style w:type="paragraph" w:customStyle="1" w:styleId="CRTCquestion">
    <w:name w:val="CRTCquestion"/>
    <w:next w:val="FRPCintPara"/>
    <w:qFormat/>
    <w:rsid w:val="00737D53"/>
    <w:pPr>
      <w:pBdr>
        <w:top w:val="single" w:sz="4" w:space="1" w:color="auto"/>
        <w:left w:val="single" w:sz="4" w:space="4" w:color="auto"/>
        <w:bottom w:val="single" w:sz="4" w:space="1" w:color="auto"/>
        <w:right w:val="single" w:sz="4" w:space="4" w:color="auto"/>
      </w:pBdr>
      <w:spacing w:after="240"/>
      <w:ind w:left="720"/>
      <w:jc w:val="both"/>
    </w:pPr>
    <w:rPr>
      <w:rFonts w:ascii="Calibri" w:hAnsi="Calibri"/>
      <w:b/>
      <w:bCs/>
      <w:sz w:val="24"/>
      <w:szCs w:val="24"/>
    </w:rPr>
  </w:style>
  <w:style w:type="paragraph" w:customStyle="1" w:styleId="FRPCexecSumm">
    <w:name w:val="FRPCexecSumm"/>
    <w:qFormat/>
    <w:rsid w:val="001B3C4E"/>
    <w:pPr>
      <w:numPr>
        <w:numId w:val="4"/>
      </w:numPr>
      <w:spacing w:after="240"/>
      <w:ind w:hanging="720"/>
    </w:pPr>
    <w:rPr>
      <w:rFonts w:ascii="Calibri" w:eastAsia="Calibri" w:hAnsi="Calibri" w:cs="Calibri"/>
      <w:sz w:val="24"/>
      <w:szCs w:val="22"/>
      <w:lang w:val="en-US" w:eastAsia="en-US"/>
    </w:rPr>
  </w:style>
  <w:style w:type="paragraph" w:customStyle="1" w:styleId="ESnumbering">
    <w:name w:val="ESnumbering"/>
    <w:basedOn w:val="FRPCexecSumm"/>
    <w:qFormat/>
    <w:rsid w:val="005677B5"/>
  </w:style>
  <w:style w:type="paragraph" w:customStyle="1" w:styleId="FRPCfigureortable">
    <w:name w:val="FRPCfigureortable"/>
    <w:basedOn w:val="FRPCintPara"/>
    <w:next w:val="FRPCintPara"/>
    <w:qFormat/>
    <w:rsid w:val="00C710C7"/>
    <w:pPr>
      <w:numPr>
        <w:numId w:val="0"/>
      </w:numPr>
      <w:spacing w:after="0"/>
    </w:pPr>
    <w:rPr>
      <w:noProof/>
    </w:rPr>
  </w:style>
  <w:style w:type="paragraph" w:customStyle="1" w:styleId="FRPCtableText">
    <w:name w:val="FRPCtableText"/>
    <w:next w:val="FRPCintPara"/>
    <w:qFormat/>
    <w:rsid w:val="00470EBC"/>
    <w:pPr>
      <w:framePr w:hSpace="187" w:wrap="around" w:vAnchor="text" w:hAnchor="margin" w:y="1"/>
      <w:suppressOverlap/>
    </w:pPr>
    <w:rPr>
      <w:rFonts w:ascii="Calibri" w:hAnsi="Calibri"/>
    </w:rPr>
  </w:style>
  <w:style w:type="paragraph" w:styleId="BalloonText">
    <w:name w:val="Balloon Text"/>
    <w:basedOn w:val="Normal"/>
    <w:link w:val="BalloonTextChar"/>
    <w:rsid w:val="00BD3835"/>
    <w:rPr>
      <w:rFonts w:ascii="Segoe UI" w:hAnsi="Segoe UI" w:cs="Segoe UI"/>
      <w:sz w:val="18"/>
      <w:szCs w:val="18"/>
    </w:rPr>
  </w:style>
  <w:style w:type="character" w:customStyle="1" w:styleId="BalloonTextChar">
    <w:name w:val="Balloon Text Char"/>
    <w:basedOn w:val="DefaultParagraphFont"/>
    <w:link w:val="BalloonText"/>
    <w:rsid w:val="00BD3835"/>
    <w:rPr>
      <w:rFonts w:ascii="Segoe UI" w:hAnsi="Segoe UI" w:cs="Segoe UI"/>
      <w:sz w:val="18"/>
      <w:szCs w:val="18"/>
    </w:rPr>
  </w:style>
  <w:style w:type="paragraph" w:styleId="TableofFigures">
    <w:name w:val="table of figures"/>
    <w:basedOn w:val="Normal"/>
    <w:next w:val="Normal"/>
    <w:uiPriority w:val="99"/>
    <w:rsid w:val="00B71251"/>
    <w:pPr>
      <w:tabs>
        <w:tab w:val="left" w:pos="1620"/>
        <w:tab w:val="right" w:pos="9350"/>
      </w:tabs>
    </w:pPr>
    <w:rPr>
      <w:rFonts w:asciiTheme="minorHAnsi" w:hAnsiTheme="minorHAnsi" w:cstheme="minorHAnsi"/>
      <w:noProof/>
      <w:sz w:val="22"/>
      <w:szCs w:val="22"/>
    </w:rPr>
  </w:style>
  <w:style w:type="paragraph" w:customStyle="1" w:styleId="StyleTableofFiguresLeft0Hanging113">
    <w:name w:val="Style Table of Figures + Left:  0&quot; Hanging:  1.13&quot;"/>
    <w:basedOn w:val="TableofFigures"/>
    <w:rsid w:val="000C0055"/>
    <w:pPr>
      <w:ind w:left="1620" w:hanging="1620"/>
    </w:pPr>
    <w:rPr>
      <w:rFonts w:cs="Times New Roman"/>
      <w:szCs w:val="20"/>
    </w:rPr>
  </w:style>
  <w:style w:type="paragraph" w:styleId="EndnoteText">
    <w:name w:val="endnote text"/>
    <w:basedOn w:val="Normal"/>
    <w:link w:val="EndnoteTextChar"/>
    <w:rsid w:val="00054CDE"/>
    <w:rPr>
      <w:rFonts w:ascii="Calibri" w:hAnsi="Calibri"/>
      <w:sz w:val="20"/>
      <w:szCs w:val="20"/>
    </w:rPr>
  </w:style>
  <w:style w:type="character" w:customStyle="1" w:styleId="EndnoteTextChar">
    <w:name w:val="Endnote Text Char"/>
    <w:basedOn w:val="DefaultParagraphFont"/>
    <w:link w:val="EndnoteText"/>
    <w:rsid w:val="00054CDE"/>
    <w:rPr>
      <w:rFonts w:ascii="Calibri" w:hAnsi="Calibri"/>
    </w:rPr>
  </w:style>
  <w:style w:type="character" w:styleId="EndnoteReference">
    <w:name w:val="endnote reference"/>
    <w:basedOn w:val="DefaultParagraphFont"/>
    <w:rsid w:val="00054C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4645">
      <w:bodyDiv w:val="1"/>
      <w:marLeft w:val="0"/>
      <w:marRight w:val="0"/>
      <w:marTop w:val="0"/>
      <w:marBottom w:val="0"/>
      <w:divBdr>
        <w:top w:val="none" w:sz="0" w:space="0" w:color="auto"/>
        <w:left w:val="none" w:sz="0" w:space="0" w:color="auto"/>
        <w:bottom w:val="none" w:sz="0" w:space="0" w:color="auto"/>
        <w:right w:val="none" w:sz="0" w:space="0" w:color="auto"/>
      </w:divBdr>
    </w:div>
    <w:div w:id="182863421">
      <w:bodyDiv w:val="1"/>
      <w:marLeft w:val="0"/>
      <w:marRight w:val="0"/>
      <w:marTop w:val="0"/>
      <w:marBottom w:val="0"/>
      <w:divBdr>
        <w:top w:val="none" w:sz="0" w:space="0" w:color="auto"/>
        <w:left w:val="none" w:sz="0" w:space="0" w:color="auto"/>
        <w:bottom w:val="none" w:sz="0" w:space="0" w:color="auto"/>
        <w:right w:val="none" w:sz="0" w:space="0" w:color="auto"/>
      </w:divBdr>
    </w:div>
    <w:div w:id="201282697">
      <w:bodyDiv w:val="1"/>
      <w:marLeft w:val="0"/>
      <w:marRight w:val="0"/>
      <w:marTop w:val="0"/>
      <w:marBottom w:val="0"/>
      <w:divBdr>
        <w:top w:val="none" w:sz="0" w:space="0" w:color="auto"/>
        <w:left w:val="none" w:sz="0" w:space="0" w:color="auto"/>
        <w:bottom w:val="none" w:sz="0" w:space="0" w:color="auto"/>
        <w:right w:val="none" w:sz="0" w:space="0" w:color="auto"/>
      </w:divBdr>
    </w:div>
    <w:div w:id="279188001">
      <w:bodyDiv w:val="1"/>
      <w:marLeft w:val="0"/>
      <w:marRight w:val="0"/>
      <w:marTop w:val="0"/>
      <w:marBottom w:val="0"/>
      <w:divBdr>
        <w:top w:val="none" w:sz="0" w:space="0" w:color="auto"/>
        <w:left w:val="none" w:sz="0" w:space="0" w:color="auto"/>
        <w:bottom w:val="none" w:sz="0" w:space="0" w:color="auto"/>
        <w:right w:val="none" w:sz="0" w:space="0" w:color="auto"/>
      </w:divBdr>
    </w:div>
    <w:div w:id="398021893">
      <w:bodyDiv w:val="1"/>
      <w:marLeft w:val="0"/>
      <w:marRight w:val="0"/>
      <w:marTop w:val="0"/>
      <w:marBottom w:val="0"/>
      <w:divBdr>
        <w:top w:val="none" w:sz="0" w:space="0" w:color="auto"/>
        <w:left w:val="none" w:sz="0" w:space="0" w:color="auto"/>
        <w:bottom w:val="none" w:sz="0" w:space="0" w:color="auto"/>
        <w:right w:val="none" w:sz="0" w:space="0" w:color="auto"/>
      </w:divBdr>
    </w:div>
    <w:div w:id="425469193">
      <w:bodyDiv w:val="1"/>
      <w:marLeft w:val="0"/>
      <w:marRight w:val="0"/>
      <w:marTop w:val="0"/>
      <w:marBottom w:val="0"/>
      <w:divBdr>
        <w:top w:val="none" w:sz="0" w:space="0" w:color="auto"/>
        <w:left w:val="none" w:sz="0" w:space="0" w:color="auto"/>
        <w:bottom w:val="none" w:sz="0" w:space="0" w:color="auto"/>
        <w:right w:val="none" w:sz="0" w:space="0" w:color="auto"/>
      </w:divBdr>
    </w:div>
    <w:div w:id="472914292">
      <w:bodyDiv w:val="1"/>
      <w:marLeft w:val="0"/>
      <w:marRight w:val="0"/>
      <w:marTop w:val="0"/>
      <w:marBottom w:val="0"/>
      <w:divBdr>
        <w:top w:val="none" w:sz="0" w:space="0" w:color="auto"/>
        <w:left w:val="none" w:sz="0" w:space="0" w:color="auto"/>
        <w:bottom w:val="none" w:sz="0" w:space="0" w:color="auto"/>
        <w:right w:val="none" w:sz="0" w:space="0" w:color="auto"/>
      </w:divBdr>
    </w:div>
    <w:div w:id="542249812">
      <w:bodyDiv w:val="1"/>
      <w:marLeft w:val="0"/>
      <w:marRight w:val="0"/>
      <w:marTop w:val="0"/>
      <w:marBottom w:val="0"/>
      <w:divBdr>
        <w:top w:val="none" w:sz="0" w:space="0" w:color="auto"/>
        <w:left w:val="none" w:sz="0" w:space="0" w:color="auto"/>
        <w:bottom w:val="none" w:sz="0" w:space="0" w:color="auto"/>
        <w:right w:val="none" w:sz="0" w:space="0" w:color="auto"/>
      </w:divBdr>
    </w:div>
    <w:div w:id="652876965">
      <w:bodyDiv w:val="1"/>
      <w:marLeft w:val="0"/>
      <w:marRight w:val="0"/>
      <w:marTop w:val="0"/>
      <w:marBottom w:val="0"/>
      <w:divBdr>
        <w:top w:val="none" w:sz="0" w:space="0" w:color="auto"/>
        <w:left w:val="none" w:sz="0" w:space="0" w:color="auto"/>
        <w:bottom w:val="none" w:sz="0" w:space="0" w:color="auto"/>
        <w:right w:val="none" w:sz="0" w:space="0" w:color="auto"/>
      </w:divBdr>
    </w:div>
    <w:div w:id="800460981">
      <w:bodyDiv w:val="1"/>
      <w:marLeft w:val="0"/>
      <w:marRight w:val="0"/>
      <w:marTop w:val="0"/>
      <w:marBottom w:val="0"/>
      <w:divBdr>
        <w:top w:val="none" w:sz="0" w:space="0" w:color="auto"/>
        <w:left w:val="none" w:sz="0" w:space="0" w:color="auto"/>
        <w:bottom w:val="none" w:sz="0" w:space="0" w:color="auto"/>
        <w:right w:val="none" w:sz="0" w:space="0" w:color="auto"/>
      </w:divBdr>
    </w:div>
    <w:div w:id="820539842">
      <w:bodyDiv w:val="1"/>
      <w:marLeft w:val="0"/>
      <w:marRight w:val="0"/>
      <w:marTop w:val="0"/>
      <w:marBottom w:val="0"/>
      <w:divBdr>
        <w:top w:val="none" w:sz="0" w:space="0" w:color="auto"/>
        <w:left w:val="none" w:sz="0" w:space="0" w:color="auto"/>
        <w:bottom w:val="none" w:sz="0" w:space="0" w:color="auto"/>
        <w:right w:val="none" w:sz="0" w:space="0" w:color="auto"/>
      </w:divBdr>
    </w:div>
    <w:div w:id="836580954">
      <w:bodyDiv w:val="1"/>
      <w:marLeft w:val="0"/>
      <w:marRight w:val="0"/>
      <w:marTop w:val="0"/>
      <w:marBottom w:val="0"/>
      <w:divBdr>
        <w:top w:val="none" w:sz="0" w:space="0" w:color="auto"/>
        <w:left w:val="none" w:sz="0" w:space="0" w:color="auto"/>
        <w:bottom w:val="none" w:sz="0" w:space="0" w:color="auto"/>
        <w:right w:val="none" w:sz="0" w:space="0" w:color="auto"/>
      </w:divBdr>
    </w:div>
    <w:div w:id="885996140">
      <w:bodyDiv w:val="1"/>
      <w:marLeft w:val="0"/>
      <w:marRight w:val="0"/>
      <w:marTop w:val="0"/>
      <w:marBottom w:val="0"/>
      <w:divBdr>
        <w:top w:val="none" w:sz="0" w:space="0" w:color="auto"/>
        <w:left w:val="none" w:sz="0" w:space="0" w:color="auto"/>
        <w:bottom w:val="none" w:sz="0" w:space="0" w:color="auto"/>
        <w:right w:val="none" w:sz="0" w:space="0" w:color="auto"/>
      </w:divBdr>
    </w:div>
    <w:div w:id="949750251">
      <w:bodyDiv w:val="1"/>
      <w:marLeft w:val="0"/>
      <w:marRight w:val="0"/>
      <w:marTop w:val="0"/>
      <w:marBottom w:val="0"/>
      <w:divBdr>
        <w:top w:val="none" w:sz="0" w:space="0" w:color="auto"/>
        <w:left w:val="none" w:sz="0" w:space="0" w:color="auto"/>
        <w:bottom w:val="none" w:sz="0" w:space="0" w:color="auto"/>
        <w:right w:val="none" w:sz="0" w:space="0" w:color="auto"/>
      </w:divBdr>
    </w:div>
    <w:div w:id="952056901">
      <w:bodyDiv w:val="1"/>
      <w:marLeft w:val="0"/>
      <w:marRight w:val="0"/>
      <w:marTop w:val="0"/>
      <w:marBottom w:val="0"/>
      <w:divBdr>
        <w:top w:val="none" w:sz="0" w:space="0" w:color="auto"/>
        <w:left w:val="none" w:sz="0" w:space="0" w:color="auto"/>
        <w:bottom w:val="none" w:sz="0" w:space="0" w:color="auto"/>
        <w:right w:val="none" w:sz="0" w:space="0" w:color="auto"/>
      </w:divBdr>
    </w:div>
    <w:div w:id="998725856">
      <w:bodyDiv w:val="1"/>
      <w:marLeft w:val="0"/>
      <w:marRight w:val="0"/>
      <w:marTop w:val="0"/>
      <w:marBottom w:val="0"/>
      <w:divBdr>
        <w:top w:val="none" w:sz="0" w:space="0" w:color="auto"/>
        <w:left w:val="none" w:sz="0" w:space="0" w:color="auto"/>
        <w:bottom w:val="none" w:sz="0" w:space="0" w:color="auto"/>
        <w:right w:val="none" w:sz="0" w:space="0" w:color="auto"/>
      </w:divBdr>
    </w:div>
    <w:div w:id="1015884954">
      <w:bodyDiv w:val="1"/>
      <w:marLeft w:val="0"/>
      <w:marRight w:val="0"/>
      <w:marTop w:val="0"/>
      <w:marBottom w:val="0"/>
      <w:divBdr>
        <w:top w:val="none" w:sz="0" w:space="0" w:color="auto"/>
        <w:left w:val="none" w:sz="0" w:space="0" w:color="auto"/>
        <w:bottom w:val="none" w:sz="0" w:space="0" w:color="auto"/>
        <w:right w:val="none" w:sz="0" w:space="0" w:color="auto"/>
      </w:divBdr>
    </w:div>
    <w:div w:id="1167208328">
      <w:bodyDiv w:val="1"/>
      <w:marLeft w:val="0"/>
      <w:marRight w:val="0"/>
      <w:marTop w:val="0"/>
      <w:marBottom w:val="0"/>
      <w:divBdr>
        <w:top w:val="none" w:sz="0" w:space="0" w:color="auto"/>
        <w:left w:val="none" w:sz="0" w:space="0" w:color="auto"/>
        <w:bottom w:val="none" w:sz="0" w:space="0" w:color="auto"/>
        <w:right w:val="none" w:sz="0" w:space="0" w:color="auto"/>
      </w:divBdr>
    </w:div>
    <w:div w:id="1325745953">
      <w:bodyDiv w:val="1"/>
      <w:marLeft w:val="0"/>
      <w:marRight w:val="0"/>
      <w:marTop w:val="0"/>
      <w:marBottom w:val="0"/>
      <w:divBdr>
        <w:top w:val="none" w:sz="0" w:space="0" w:color="auto"/>
        <w:left w:val="none" w:sz="0" w:space="0" w:color="auto"/>
        <w:bottom w:val="none" w:sz="0" w:space="0" w:color="auto"/>
        <w:right w:val="none" w:sz="0" w:space="0" w:color="auto"/>
      </w:divBdr>
      <w:divsChild>
        <w:div w:id="310982208">
          <w:marLeft w:val="225"/>
          <w:marRight w:val="225"/>
          <w:marTop w:val="0"/>
          <w:marBottom w:val="450"/>
          <w:divBdr>
            <w:top w:val="none" w:sz="0" w:space="0" w:color="auto"/>
            <w:left w:val="none" w:sz="0" w:space="0" w:color="auto"/>
            <w:bottom w:val="none" w:sz="0" w:space="0" w:color="auto"/>
            <w:right w:val="none" w:sz="0" w:space="0" w:color="auto"/>
          </w:divBdr>
        </w:div>
        <w:div w:id="396560965">
          <w:marLeft w:val="0"/>
          <w:marRight w:val="0"/>
          <w:marTop w:val="0"/>
          <w:marBottom w:val="225"/>
          <w:divBdr>
            <w:top w:val="none" w:sz="0" w:space="0" w:color="auto"/>
            <w:left w:val="none" w:sz="0" w:space="0" w:color="auto"/>
            <w:bottom w:val="none" w:sz="0" w:space="0" w:color="auto"/>
            <w:right w:val="none" w:sz="0" w:space="0" w:color="auto"/>
          </w:divBdr>
        </w:div>
      </w:divsChild>
    </w:div>
    <w:div w:id="1618297477">
      <w:bodyDiv w:val="1"/>
      <w:marLeft w:val="0"/>
      <w:marRight w:val="0"/>
      <w:marTop w:val="0"/>
      <w:marBottom w:val="0"/>
      <w:divBdr>
        <w:top w:val="none" w:sz="0" w:space="0" w:color="auto"/>
        <w:left w:val="none" w:sz="0" w:space="0" w:color="auto"/>
        <w:bottom w:val="none" w:sz="0" w:space="0" w:color="auto"/>
        <w:right w:val="none" w:sz="0" w:space="0" w:color="auto"/>
      </w:divBdr>
    </w:div>
    <w:div w:id="1991666335">
      <w:bodyDiv w:val="1"/>
      <w:marLeft w:val="0"/>
      <w:marRight w:val="0"/>
      <w:marTop w:val="0"/>
      <w:marBottom w:val="0"/>
      <w:divBdr>
        <w:top w:val="none" w:sz="0" w:space="0" w:color="auto"/>
        <w:left w:val="none" w:sz="0" w:space="0" w:color="auto"/>
        <w:bottom w:val="none" w:sz="0" w:space="0" w:color="auto"/>
        <w:right w:val="none" w:sz="0" w:space="0" w:color="auto"/>
      </w:divBdr>
    </w:div>
    <w:div w:id="2000382915">
      <w:bodyDiv w:val="1"/>
      <w:marLeft w:val="0"/>
      <w:marRight w:val="0"/>
      <w:marTop w:val="0"/>
      <w:marBottom w:val="0"/>
      <w:divBdr>
        <w:top w:val="none" w:sz="0" w:space="0" w:color="auto"/>
        <w:left w:val="none" w:sz="0" w:space="0" w:color="auto"/>
        <w:bottom w:val="none" w:sz="0" w:space="0" w:color="auto"/>
        <w:right w:val="none" w:sz="0" w:space="0" w:color="auto"/>
      </w:divBdr>
    </w:div>
    <w:div w:id="206039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8.png"/><Relationship Id="rId10" Type="http://schemas.openxmlformats.org/officeDocument/2006/relationships/hyperlink" Target="mailto:execdir@frpc.net"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4.xml"/><Relationship Id="rId22" Type="http://schemas.openxmlformats.org/officeDocument/2006/relationships/image" Target="media/image7.png"/></Relationships>
</file>

<file path=word/_rels/endnotes.xml.rels><?xml version="1.0" encoding="UTF-8" standalone="yes"?>
<Relationships xmlns="http://schemas.openxmlformats.org/package/2006/relationships"><Relationship Id="rId8" Type="http://schemas.openxmlformats.org/officeDocument/2006/relationships/hyperlink" Target="https://www.cab-acr.ca/english/pdf/CAB_Covid-19_Letter.pdf" TargetMode="External"/><Relationship Id="rId13" Type="http://schemas.openxmlformats.org/officeDocument/2006/relationships/hyperlink" Target="https://www.cab-acr.ca/english/media/news/20/cmi_report_aug24.pdf" TargetMode="External"/><Relationship Id="rId18" Type="http://schemas.openxmlformats.org/officeDocument/2006/relationships/hyperlink" Target="https://ojs.library.dal.ca/CJLT/article/view/6051/5378" TargetMode="External"/><Relationship Id="rId3" Type="http://schemas.openxmlformats.org/officeDocument/2006/relationships/hyperlink" Target="https://www.canada.ca/en/public-health/services/diseases/2019-novel-coronavirus-infection.html?&amp;utm_campaign=gc-hc-sc-coronavirus2021-ao-2021-0005-9834796012&amp;utm_medium=search&amp;utm_source=google_grant-ads-107802327544&amp;utm_content=text-en-434601690158&amp;utm_term=%2Bcovid%20%2B19%20%2Bcanada" TargetMode="External"/><Relationship Id="rId21" Type="http://schemas.openxmlformats.org/officeDocument/2006/relationships/hyperlink" Target="https://crtc.gc.ca/eng/archive/2016/2016-224.htm" TargetMode="External"/><Relationship Id="rId7" Type="http://schemas.openxmlformats.org/officeDocument/2006/relationships/hyperlink" Target="https://www.theglobeandmail.com/canada/investigations/article-auditor-general-to-probe-oversight-of-countrys-pandemic-warning/" TargetMode="External"/><Relationship Id="rId12" Type="http://schemas.openxmlformats.org/officeDocument/2006/relationships/hyperlink" Target="https://www.cab-acr.ca/english/media/news/20/cmi_report_aug24.pdf" TargetMode="External"/><Relationship Id="rId17" Type="http://schemas.openxmlformats.org/officeDocument/2006/relationships/hyperlink" Target="https://crtc.gc.ca/eng/archive/2020/2020-214.htm" TargetMode="External"/><Relationship Id="rId2" Type="http://schemas.openxmlformats.org/officeDocument/2006/relationships/hyperlink" Target="https://www.canadianhealthcarenetwork.ca/covid-19-a-canadian-timeline" TargetMode="External"/><Relationship Id="rId16" Type="http://schemas.openxmlformats.org/officeDocument/2006/relationships/hyperlink" Target="https://crtc.gc.ca/eng/archive/2016/2016-225.htm" TargetMode="External"/><Relationship Id="rId20" Type="http://schemas.openxmlformats.org/officeDocument/2006/relationships/hyperlink" Target="https://crtc.gc.ca/eng/archive/2006/pb2006-158.htm" TargetMode="External"/><Relationship Id="rId1" Type="http://schemas.openxmlformats.org/officeDocument/2006/relationships/hyperlink" Target="https://www.unizar.es/sociocybernetics/Journal/JoS2-1.pdf" TargetMode="External"/><Relationship Id="rId6" Type="http://schemas.openxmlformats.org/officeDocument/2006/relationships/hyperlink" Target="https://www.ctvnews.ca/health/coronavirus/pm-says-second-wave-frustrating-as-canada-is-projected-to-see-thousands-of-new-covid-19-cases-1.5139466" TargetMode="External"/><Relationship Id="rId11" Type="http://schemas.openxmlformats.org/officeDocument/2006/relationships/hyperlink" Target="https://laws.justice.gc.ca/eng/regulations/SOR-2010-277/index.html" TargetMode="External"/><Relationship Id="rId24" Type="http://schemas.openxmlformats.org/officeDocument/2006/relationships/hyperlink" Target="https://crtc.gc.ca/eng/archive/2016/2016-224.htm" TargetMode="External"/><Relationship Id="rId5" Type="http://schemas.openxmlformats.org/officeDocument/2006/relationships/hyperlink" Target="https://www150.statcan.gc.ca/n1/pub/71-607-x/71-607-x2020009-eng.htm" TargetMode="External"/><Relationship Id="rId15" Type="http://schemas.openxmlformats.org/officeDocument/2006/relationships/hyperlink" Target="https://crtc.gc.ca/eng/archive/2010/2010-167.htm" TargetMode="External"/><Relationship Id="rId23" Type="http://schemas.openxmlformats.org/officeDocument/2006/relationships/hyperlink" Target="https://frpc.net/wp-content/uploads/2016/10/FRPC-2016-225-15-Aug-2016-comment.pdf" TargetMode="External"/><Relationship Id="rId10" Type="http://schemas.openxmlformats.org/officeDocument/2006/relationships/hyperlink" Target="https://www.canada.ca/en/canadian-heritage/news/2020/03/covid-19-the-government-of-canada-provides-relief-to-the-broadcasting-sector.html" TargetMode="External"/><Relationship Id="rId19" Type="http://schemas.openxmlformats.org/officeDocument/2006/relationships/hyperlink" Target="https://crtc.gc.ca/eng/archive/2016/2016-224.htm" TargetMode="External"/><Relationship Id="rId4" Type="http://schemas.openxmlformats.org/officeDocument/2006/relationships/hyperlink" Target="https://www150.statcan.gc.ca/n1/pub/11-626-x/11-626-x2020017-eng.htm" TargetMode="External"/><Relationship Id="rId9" Type="http://schemas.openxmlformats.org/officeDocument/2006/relationships/hyperlink" Target="https://www.cab-acr.ca/english/media/news/20/cmi_report_aug24.pdf" TargetMode="External"/><Relationship Id="rId14" Type="http://schemas.openxmlformats.org/officeDocument/2006/relationships/hyperlink" Target="https://crtc.gc.ca/eng/archive/1999/pb99-97.htm" TargetMode="External"/><Relationship Id="rId22" Type="http://schemas.openxmlformats.org/officeDocument/2006/relationships/hyperlink" Target="https://frpc.net/wp-content/uploads/2015/11/FRPC-2015-421-6-Nov-2015-comm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52A58-C1E1-46FB-B555-3EDC07A8F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962</TotalTime>
  <Pages>56</Pages>
  <Words>13137</Words>
  <Characters>74883</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87845</CharactersWithSpaces>
  <SharedDoc>false</SharedDoc>
  <HLinks>
    <vt:vector size="330" baseType="variant">
      <vt:variant>
        <vt:i4>1769527</vt:i4>
      </vt:variant>
      <vt:variant>
        <vt:i4>83</vt:i4>
      </vt:variant>
      <vt:variant>
        <vt:i4>0</vt:i4>
      </vt:variant>
      <vt:variant>
        <vt:i4>5</vt:i4>
      </vt:variant>
      <vt:variant>
        <vt:lpwstr/>
      </vt:variant>
      <vt:variant>
        <vt:lpwstr>_Toc44694312</vt:lpwstr>
      </vt:variant>
      <vt:variant>
        <vt:i4>1572919</vt:i4>
      </vt:variant>
      <vt:variant>
        <vt:i4>77</vt:i4>
      </vt:variant>
      <vt:variant>
        <vt:i4>0</vt:i4>
      </vt:variant>
      <vt:variant>
        <vt:i4>5</vt:i4>
      </vt:variant>
      <vt:variant>
        <vt:lpwstr/>
      </vt:variant>
      <vt:variant>
        <vt:lpwstr>_Toc44694311</vt:lpwstr>
      </vt:variant>
      <vt:variant>
        <vt:i4>1638455</vt:i4>
      </vt:variant>
      <vt:variant>
        <vt:i4>71</vt:i4>
      </vt:variant>
      <vt:variant>
        <vt:i4>0</vt:i4>
      </vt:variant>
      <vt:variant>
        <vt:i4>5</vt:i4>
      </vt:variant>
      <vt:variant>
        <vt:lpwstr/>
      </vt:variant>
      <vt:variant>
        <vt:lpwstr>_Toc44694310</vt:lpwstr>
      </vt:variant>
      <vt:variant>
        <vt:i4>1048630</vt:i4>
      </vt:variant>
      <vt:variant>
        <vt:i4>65</vt:i4>
      </vt:variant>
      <vt:variant>
        <vt:i4>0</vt:i4>
      </vt:variant>
      <vt:variant>
        <vt:i4>5</vt:i4>
      </vt:variant>
      <vt:variant>
        <vt:lpwstr/>
      </vt:variant>
      <vt:variant>
        <vt:lpwstr>_Toc44694309</vt:lpwstr>
      </vt:variant>
      <vt:variant>
        <vt:i4>1114166</vt:i4>
      </vt:variant>
      <vt:variant>
        <vt:i4>59</vt:i4>
      </vt:variant>
      <vt:variant>
        <vt:i4>0</vt:i4>
      </vt:variant>
      <vt:variant>
        <vt:i4>5</vt:i4>
      </vt:variant>
      <vt:variant>
        <vt:lpwstr/>
      </vt:variant>
      <vt:variant>
        <vt:lpwstr>_Toc44694308</vt:lpwstr>
      </vt:variant>
      <vt:variant>
        <vt:i4>1966134</vt:i4>
      </vt:variant>
      <vt:variant>
        <vt:i4>53</vt:i4>
      </vt:variant>
      <vt:variant>
        <vt:i4>0</vt:i4>
      </vt:variant>
      <vt:variant>
        <vt:i4>5</vt:i4>
      </vt:variant>
      <vt:variant>
        <vt:lpwstr/>
      </vt:variant>
      <vt:variant>
        <vt:lpwstr>_Toc44694307</vt:lpwstr>
      </vt:variant>
      <vt:variant>
        <vt:i4>2031670</vt:i4>
      </vt:variant>
      <vt:variant>
        <vt:i4>47</vt:i4>
      </vt:variant>
      <vt:variant>
        <vt:i4>0</vt:i4>
      </vt:variant>
      <vt:variant>
        <vt:i4>5</vt:i4>
      </vt:variant>
      <vt:variant>
        <vt:lpwstr/>
      </vt:variant>
      <vt:variant>
        <vt:lpwstr>_Toc44694306</vt:lpwstr>
      </vt:variant>
      <vt:variant>
        <vt:i4>1835062</vt:i4>
      </vt:variant>
      <vt:variant>
        <vt:i4>41</vt:i4>
      </vt:variant>
      <vt:variant>
        <vt:i4>0</vt:i4>
      </vt:variant>
      <vt:variant>
        <vt:i4>5</vt:i4>
      </vt:variant>
      <vt:variant>
        <vt:lpwstr/>
      </vt:variant>
      <vt:variant>
        <vt:lpwstr>_Toc44694305</vt:lpwstr>
      </vt:variant>
      <vt:variant>
        <vt:i4>1900598</vt:i4>
      </vt:variant>
      <vt:variant>
        <vt:i4>35</vt:i4>
      </vt:variant>
      <vt:variant>
        <vt:i4>0</vt:i4>
      </vt:variant>
      <vt:variant>
        <vt:i4>5</vt:i4>
      </vt:variant>
      <vt:variant>
        <vt:lpwstr/>
      </vt:variant>
      <vt:variant>
        <vt:lpwstr>_Toc44694304</vt:lpwstr>
      </vt:variant>
      <vt:variant>
        <vt:i4>1703990</vt:i4>
      </vt:variant>
      <vt:variant>
        <vt:i4>29</vt:i4>
      </vt:variant>
      <vt:variant>
        <vt:i4>0</vt:i4>
      </vt:variant>
      <vt:variant>
        <vt:i4>5</vt:i4>
      </vt:variant>
      <vt:variant>
        <vt:lpwstr/>
      </vt:variant>
      <vt:variant>
        <vt:lpwstr>_Toc44694303</vt:lpwstr>
      </vt:variant>
      <vt:variant>
        <vt:i4>1769526</vt:i4>
      </vt:variant>
      <vt:variant>
        <vt:i4>23</vt:i4>
      </vt:variant>
      <vt:variant>
        <vt:i4>0</vt:i4>
      </vt:variant>
      <vt:variant>
        <vt:i4>5</vt:i4>
      </vt:variant>
      <vt:variant>
        <vt:lpwstr/>
      </vt:variant>
      <vt:variant>
        <vt:lpwstr>_Toc44694302</vt:lpwstr>
      </vt:variant>
      <vt:variant>
        <vt:i4>1572918</vt:i4>
      </vt:variant>
      <vt:variant>
        <vt:i4>17</vt:i4>
      </vt:variant>
      <vt:variant>
        <vt:i4>0</vt:i4>
      </vt:variant>
      <vt:variant>
        <vt:i4>5</vt:i4>
      </vt:variant>
      <vt:variant>
        <vt:lpwstr/>
      </vt:variant>
      <vt:variant>
        <vt:lpwstr>_Toc44694301</vt:lpwstr>
      </vt:variant>
      <vt:variant>
        <vt:i4>1638454</vt:i4>
      </vt:variant>
      <vt:variant>
        <vt:i4>11</vt:i4>
      </vt:variant>
      <vt:variant>
        <vt:i4>0</vt:i4>
      </vt:variant>
      <vt:variant>
        <vt:i4>5</vt:i4>
      </vt:variant>
      <vt:variant>
        <vt:lpwstr/>
      </vt:variant>
      <vt:variant>
        <vt:lpwstr>_Toc44694300</vt:lpwstr>
      </vt:variant>
      <vt:variant>
        <vt:i4>1114175</vt:i4>
      </vt:variant>
      <vt:variant>
        <vt:i4>5</vt:i4>
      </vt:variant>
      <vt:variant>
        <vt:i4>0</vt:i4>
      </vt:variant>
      <vt:variant>
        <vt:i4>5</vt:i4>
      </vt:variant>
      <vt:variant>
        <vt:lpwstr/>
      </vt:variant>
      <vt:variant>
        <vt:lpwstr>_Toc44694299</vt:lpwstr>
      </vt:variant>
      <vt:variant>
        <vt:i4>2686983</vt:i4>
      </vt:variant>
      <vt:variant>
        <vt:i4>0</vt:i4>
      </vt:variant>
      <vt:variant>
        <vt:i4>0</vt:i4>
      </vt:variant>
      <vt:variant>
        <vt:i4>5</vt:i4>
      </vt:variant>
      <vt:variant>
        <vt:lpwstr>mailto:execdir@frpc.net</vt:lpwstr>
      </vt:variant>
      <vt:variant>
        <vt:lpwstr/>
      </vt:variant>
      <vt:variant>
        <vt:i4>3145849</vt:i4>
      </vt:variant>
      <vt:variant>
        <vt:i4>117</vt:i4>
      </vt:variant>
      <vt:variant>
        <vt:i4>0</vt:i4>
      </vt:variant>
      <vt:variant>
        <vt:i4>5</vt:i4>
      </vt:variant>
      <vt:variant>
        <vt:lpwstr>https://crtc.gc.ca/eng/archive/2009/2009-430.htm</vt:lpwstr>
      </vt:variant>
      <vt:variant>
        <vt:lpwstr>b11</vt:lpwstr>
      </vt:variant>
      <vt:variant>
        <vt:i4>4259902</vt:i4>
      </vt:variant>
      <vt:variant>
        <vt:i4>114</vt:i4>
      </vt:variant>
      <vt:variant>
        <vt:i4>0</vt:i4>
      </vt:variant>
      <vt:variant>
        <vt:i4>5</vt:i4>
      </vt:variant>
      <vt:variant>
        <vt:lpwstr>https://www.ic.gc.ca/eic/site/062.nsf/eng/h_00108.html</vt:lpwstr>
      </vt:variant>
      <vt:variant>
        <vt:lpwstr/>
      </vt:variant>
      <vt:variant>
        <vt:i4>5963786</vt:i4>
      </vt:variant>
      <vt:variant>
        <vt:i4>111</vt:i4>
      </vt:variant>
      <vt:variant>
        <vt:i4>0</vt:i4>
      </vt:variant>
      <vt:variant>
        <vt:i4>5</vt:i4>
      </vt:variant>
      <vt:variant>
        <vt:lpwstr>https://www.ccts-cprst.ca/about-ccts/participating-service-providers/</vt:lpwstr>
      </vt:variant>
      <vt:variant>
        <vt:lpwstr/>
      </vt:variant>
      <vt:variant>
        <vt:i4>4390943</vt:i4>
      </vt:variant>
      <vt:variant>
        <vt:i4>108</vt:i4>
      </vt:variant>
      <vt:variant>
        <vt:i4>0</vt:i4>
      </vt:variant>
      <vt:variant>
        <vt:i4>5</vt:i4>
      </vt:variant>
      <vt:variant>
        <vt:lpwstr>https://www.priv.gc.ca/en/opc-actions-and-decisions/research/explore-privacy-research/2019/por_2019_ca</vt:lpwstr>
      </vt:variant>
      <vt:variant>
        <vt:lpwstr/>
      </vt:variant>
      <vt:variant>
        <vt:i4>4259889</vt:i4>
      </vt:variant>
      <vt:variant>
        <vt:i4>105</vt:i4>
      </vt:variant>
      <vt:variant>
        <vt:i4>0</vt:i4>
      </vt:variant>
      <vt:variant>
        <vt:i4>5</vt:i4>
      </vt:variant>
      <vt:variant>
        <vt:lpwstr>https://www.ic.gc.ca/eic/site/062.nsf/eng/h_00107.html</vt:lpwstr>
      </vt:variant>
      <vt:variant>
        <vt:lpwstr/>
      </vt:variant>
      <vt:variant>
        <vt:i4>4259902</vt:i4>
      </vt:variant>
      <vt:variant>
        <vt:i4>102</vt:i4>
      </vt:variant>
      <vt:variant>
        <vt:i4>0</vt:i4>
      </vt:variant>
      <vt:variant>
        <vt:i4>5</vt:i4>
      </vt:variant>
      <vt:variant>
        <vt:lpwstr>https://www.ic.gc.ca/eic/site/062.nsf/eng/h_00108.html</vt:lpwstr>
      </vt:variant>
      <vt:variant>
        <vt:lpwstr/>
      </vt:variant>
      <vt:variant>
        <vt:i4>4390943</vt:i4>
      </vt:variant>
      <vt:variant>
        <vt:i4>99</vt:i4>
      </vt:variant>
      <vt:variant>
        <vt:i4>0</vt:i4>
      </vt:variant>
      <vt:variant>
        <vt:i4>5</vt:i4>
      </vt:variant>
      <vt:variant>
        <vt:lpwstr>https://www.priv.gc.ca/en/opc-actions-and-decisions/research/explore-privacy-research/2019/por_2019_ca</vt:lpwstr>
      </vt:variant>
      <vt:variant>
        <vt:lpwstr/>
      </vt:variant>
      <vt:variant>
        <vt:i4>4390943</vt:i4>
      </vt:variant>
      <vt:variant>
        <vt:i4>96</vt:i4>
      </vt:variant>
      <vt:variant>
        <vt:i4>0</vt:i4>
      </vt:variant>
      <vt:variant>
        <vt:i4>5</vt:i4>
      </vt:variant>
      <vt:variant>
        <vt:lpwstr>https://www.priv.gc.ca/en/opc-actions-and-decisions/research/explore-privacy-research/2019/por_2019_ca</vt:lpwstr>
      </vt:variant>
      <vt:variant>
        <vt:lpwstr/>
      </vt:variant>
      <vt:variant>
        <vt:i4>4390943</vt:i4>
      </vt:variant>
      <vt:variant>
        <vt:i4>93</vt:i4>
      </vt:variant>
      <vt:variant>
        <vt:i4>0</vt:i4>
      </vt:variant>
      <vt:variant>
        <vt:i4>5</vt:i4>
      </vt:variant>
      <vt:variant>
        <vt:lpwstr>https://www.priv.gc.ca/en/opc-actions-and-decisions/research/explore-privacy-research/2019/por_2019_ca</vt:lpwstr>
      </vt:variant>
      <vt:variant>
        <vt:lpwstr/>
      </vt:variant>
      <vt:variant>
        <vt:i4>4456450</vt:i4>
      </vt:variant>
      <vt:variant>
        <vt:i4>90</vt:i4>
      </vt:variant>
      <vt:variant>
        <vt:i4>0</vt:i4>
      </vt:variant>
      <vt:variant>
        <vt:i4>5</vt:i4>
      </vt:variant>
      <vt:variant>
        <vt:lpwstr>https://gdpr.report/news/2020/03/20/privacy-rogers-communications-discloses-data-breach/</vt:lpwstr>
      </vt:variant>
      <vt:variant>
        <vt:lpwstr>:~:text=The%20Canadian%20telecom%20provider%20has,breach%20exposing%20their%20personal%20data.&amp;text=Rogers%20has%20begun%20notifying%20customers,complimentary%20Transunion%20credit%20monitoring%20subscription</vt:lpwstr>
      </vt:variant>
      <vt:variant>
        <vt:i4>720924</vt:i4>
      </vt:variant>
      <vt:variant>
        <vt:i4>87</vt:i4>
      </vt:variant>
      <vt:variant>
        <vt:i4>0</vt:i4>
      </vt:variant>
      <vt:variant>
        <vt:i4>5</vt:i4>
      </vt:variant>
      <vt:variant>
        <vt:lpwstr>https://www.priv.gc.ca/en/blog/20191031/</vt:lpwstr>
      </vt:variant>
      <vt:variant>
        <vt:lpwstr/>
      </vt:variant>
      <vt:variant>
        <vt:i4>4390943</vt:i4>
      </vt:variant>
      <vt:variant>
        <vt:i4>84</vt:i4>
      </vt:variant>
      <vt:variant>
        <vt:i4>0</vt:i4>
      </vt:variant>
      <vt:variant>
        <vt:i4>5</vt:i4>
      </vt:variant>
      <vt:variant>
        <vt:lpwstr>https://www.priv.gc.ca/en/opc-actions-and-decisions/research/explore-privacy-research/2019/por_2019_ca</vt:lpwstr>
      </vt:variant>
      <vt:variant>
        <vt:lpwstr/>
      </vt:variant>
      <vt:variant>
        <vt:i4>4784149</vt:i4>
      </vt:variant>
      <vt:variant>
        <vt:i4>81</vt:i4>
      </vt:variant>
      <vt:variant>
        <vt:i4>0</vt:i4>
      </vt:variant>
      <vt:variant>
        <vt:i4>5</vt:i4>
      </vt:variant>
      <vt:variant>
        <vt:lpwstr>https://www150.statcan.gc.ca/n1/pub/11f0019m/11f0019m2019015-eng.htm</vt:lpwstr>
      </vt:variant>
      <vt:variant>
        <vt:lpwstr/>
      </vt:variant>
      <vt:variant>
        <vt:i4>4390943</vt:i4>
      </vt:variant>
      <vt:variant>
        <vt:i4>78</vt:i4>
      </vt:variant>
      <vt:variant>
        <vt:i4>0</vt:i4>
      </vt:variant>
      <vt:variant>
        <vt:i4>5</vt:i4>
      </vt:variant>
      <vt:variant>
        <vt:lpwstr>https://www.priv.gc.ca/en/opc-actions-and-decisions/research/explore-privacy-research/2019/por_2019_ca</vt:lpwstr>
      </vt:variant>
      <vt:variant>
        <vt:lpwstr/>
      </vt:variant>
      <vt:variant>
        <vt:i4>4390943</vt:i4>
      </vt:variant>
      <vt:variant>
        <vt:i4>75</vt:i4>
      </vt:variant>
      <vt:variant>
        <vt:i4>0</vt:i4>
      </vt:variant>
      <vt:variant>
        <vt:i4>5</vt:i4>
      </vt:variant>
      <vt:variant>
        <vt:lpwstr>https://www.priv.gc.ca/en/opc-actions-and-decisions/research/explore-privacy-research/2019/por_2019_ca</vt:lpwstr>
      </vt:variant>
      <vt:variant>
        <vt:lpwstr/>
      </vt:variant>
      <vt:variant>
        <vt:i4>327760</vt:i4>
      </vt:variant>
      <vt:variant>
        <vt:i4>72</vt:i4>
      </vt:variant>
      <vt:variant>
        <vt:i4>0</vt:i4>
      </vt:variant>
      <vt:variant>
        <vt:i4>5</vt:i4>
      </vt:variant>
      <vt:variant>
        <vt:lpwstr>https://crtc.gc.ca/eng/archive/2002/pb2002-61.htm</vt:lpwstr>
      </vt:variant>
      <vt:variant>
        <vt:lpwstr/>
      </vt:variant>
      <vt:variant>
        <vt:i4>786527</vt:i4>
      </vt:variant>
      <vt:variant>
        <vt:i4>69</vt:i4>
      </vt:variant>
      <vt:variant>
        <vt:i4>0</vt:i4>
      </vt:variant>
      <vt:variant>
        <vt:i4>5</vt:i4>
      </vt:variant>
      <vt:variant>
        <vt:lpwstr>https://crtc.gc.ca/eng/archive/2005/pb2005-89.htm</vt:lpwstr>
      </vt:variant>
      <vt:variant>
        <vt:lpwstr/>
      </vt:variant>
      <vt:variant>
        <vt:i4>6881313</vt:i4>
      </vt:variant>
      <vt:variant>
        <vt:i4>66</vt:i4>
      </vt:variant>
      <vt:variant>
        <vt:i4>0</vt:i4>
      </vt:variant>
      <vt:variant>
        <vt:i4>5</vt:i4>
      </vt:variant>
      <vt:variant>
        <vt:lpwstr>https://crtc.gc.ca/eng/archive/2020/2020-80.htm</vt:lpwstr>
      </vt:variant>
      <vt:variant>
        <vt:lpwstr/>
      </vt:variant>
      <vt:variant>
        <vt:i4>3735676</vt:i4>
      </vt:variant>
      <vt:variant>
        <vt:i4>63</vt:i4>
      </vt:variant>
      <vt:variant>
        <vt:i4>0</vt:i4>
      </vt:variant>
      <vt:variant>
        <vt:i4>5</vt:i4>
      </vt:variant>
      <vt:variant>
        <vt:lpwstr>https://laws.justice.gc.ca/eng/regulations/SOR-2019-227/page-1.html</vt:lpwstr>
      </vt:variant>
      <vt:variant>
        <vt:lpwstr>h-1138628</vt:lpwstr>
      </vt:variant>
      <vt:variant>
        <vt:i4>6881313</vt:i4>
      </vt:variant>
      <vt:variant>
        <vt:i4>60</vt:i4>
      </vt:variant>
      <vt:variant>
        <vt:i4>0</vt:i4>
      </vt:variant>
      <vt:variant>
        <vt:i4>5</vt:i4>
      </vt:variant>
      <vt:variant>
        <vt:lpwstr>https://crtc.gc.ca/eng/archive/2020/2020-80.htm</vt:lpwstr>
      </vt:variant>
      <vt:variant>
        <vt:lpwstr/>
      </vt:variant>
      <vt:variant>
        <vt:i4>6881313</vt:i4>
      </vt:variant>
      <vt:variant>
        <vt:i4>57</vt:i4>
      </vt:variant>
      <vt:variant>
        <vt:i4>0</vt:i4>
      </vt:variant>
      <vt:variant>
        <vt:i4>5</vt:i4>
      </vt:variant>
      <vt:variant>
        <vt:lpwstr>https://crtc.gc.ca/eng/archive/2020/2020-80.htm</vt:lpwstr>
      </vt:variant>
      <vt:variant>
        <vt:lpwstr/>
      </vt:variant>
      <vt:variant>
        <vt:i4>3801126</vt:i4>
      </vt:variant>
      <vt:variant>
        <vt:i4>54</vt:i4>
      </vt:variant>
      <vt:variant>
        <vt:i4>0</vt:i4>
      </vt:variant>
      <vt:variant>
        <vt:i4>5</vt:i4>
      </vt:variant>
      <vt:variant>
        <vt:lpwstr>https://crtc.gc.ca/eng/archive/2016/2016-1.htm</vt:lpwstr>
      </vt:variant>
      <vt:variant>
        <vt:lpwstr/>
      </vt:variant>
      <vt:variant>
        <vt:i4>851989</vt:i4>
      </vt:variant>
      <vt:variant>
        <vt:i4>51</vt:i4>
      </vt:variant>
      <vt:variant>
        <vt:i4>0</vt:i4>
      </vt:variant>
      <vt:variant>
        <vt:i4>5</vt:i4>
      </vt:variant>
      <vt:variant>
        <vt:lpwstr>https://crtc.gc.ca/eng/archive/2015/2015-104.htm</vt:lpwstr>
      </vt:variant>
      <vt:variant>
        <vt:lpwstr/>
      </vt:variant>
      <vt:variant>
        <vt:i4>7667736</vt:i4>
      </vt:variant>
      <vt:variant>
        <vt:i4>48</vt:i4>
      </vt:variant>
      <vt:variant>
        <vt:i4>0</vt:i4>
      </vt:variant>
      <vt:variant>
        <vt:i4>5</vt:i4>
      </vt:variant>
      <vt:variant>
        <vt:lpwstr>https://crtc.gc.ca/eng/archive/2014/lt140723.htm?_ga=2.168342753.1113879779.1593637287-1211976415.1582553073</vt:lpwstr>
      </vt:variant>
      <vt:variant>
        <vt:lpwstr/>
      </vt:variant>
      <vt:variant>
        <vt:i4>3407953</vt:i4>
      </vt:variant>
      <vt:variant>
        <vt:i4>45</vt:i4>
      </vt:variant>
      <vt:variant>
        <vt:i4>0</vt:i4>
      </vt:variant>
      <vt:variant>
        <vt:i4>5</vt:i4>
      </vt:variant>
      <vt:variant>
        <vt:lpwstr>https://crtc.gc.ca/public/otf/2012/8480/b54_x/2174344.PDF</vt:lpwstr>
      </vt:variant>
      <vt:variant>
        <vt:lpwstr/>
      </vt:variant>
      <vt:variant>
        <vt:i4>7602228</vt:i4>
      </vt:variant>
      <vt:variant>
        <vt:i4>42</vt:i4>
      </vt:variant>
      <vt:variant>
        <vt:i4>0</vt:i4>
      </vt:variant>
      <vt:variant>
        <vt:i4>5</vt:i4>
      </vt:variant>
      <vt:variant>
        <vt:lpwstr>https://ottawacitizen.com/news/politics/budget-legislation-will-end-fees-for-paper-bills-introduce-new-rules-for-foreign-investment-reviews</vt:lpwstr>
      </vt:variant>
      <vt:variant>
        <vt:lpwstr/>
      </vt:variant>
      <vt:variant>
        <vt:i4>2031629</vt:i4>
      </vt:variant>
      <vt:variant>
        <vt:i4>39</vt:i4>
      </vt:variant>
      <vt:variant>
        <vt:i4>0</vt:i4>
      </vt:variant>
      <vt:variant>
        <vt:i4>5</vt:i4>
      </vt:variant>
      <vt:variant>
        <vt:lpwstr>https://crtc.gc.ca/eng/publications/reports/rp140723.pdf</vt:lpwstr>
      </vt:variant>
      <vt:variant>
        <vt:lpwstr/>
      </vt:variant>
      <vt:variant>
        <vt:i4>1441798</vt:i4>
      </vt:variant>
      <vt:variant>
        <vt:i4>36</vt:i4>
      </vt:variant>
      <vt:variant>
        <vt:i4>0</vt:i4>
      </vt:variant>
      <vt:variant>
        <vt:i4>5</vt:i4>
      </vt:variant>
      <vt:variant>
        <vt:lpwstr>https://crtc.gc.ca/eng/archive/2014/lt140723a.htm</vt:lpwstr>
      </vt:variant>
      <vt:variant>
        <vt:lpwstr/>
      </vt:variant>
      <vt:variant>
        <vt:i4>7012409</vt:i4>
      </vt:variant>
      <vt:variant>
        <vt:i4>33</vt:i4>
      </vt:variant>
      <vt:variant>
        <vt:i4>0</vt:i4>
      </vt:variant>
      <vt:variant>
        <vt:i4>5</vt:i4>
      </vt:variant>
      <vt:variant>
        <vt:lpwstr>https://www.digitalhome.ca/threads/bell-now-charging-for-paper-bill.93132/</vt:lpwstr>
      </vt:variant>
      <vt:variant>
        <vt:lpwstr/>
      </vt:variant>
      <vt:variant>
        <vt:i4>7012409</vt:i4>
      </vt:variant>
      <vt:variant>
        <vt:i4>30</vt:i4>
      </vt:variant>
      <vt:variant>
        <vt:i4>0</vt:i4>
      </vt:variant>
      <vt:variant>
        <vt:i4>5</vt:i4>
      </vt:variant>
      <vt:variant>
        <vt:lpwstr>https://www.digitalhome.ca/threads/bell-now-charging-for-paper-bill.93132/</vt:lpwstr>
      </vt:variant>
      <vt:variant>
        <vt:lpwstr/>
      </vt:variant>
      <vt:variant>
        <vt:i4>7012409</vt:i4>
      </vt:variant>
      <vt:variant>
        <vt:i4>27</vt:i4>
      </vt:variant>
      <vt:variant>
        <vt:i4>0</vt:i4>
      </vt:variant>
      <vt:variant>
        <vt:i4>5</vt:i4>
      </vt:variant>
      <vt:variant>
        <vt:lpwstr>https://www.digitalhome.ca/threads/bell-now-charging-for-paper-bill.93132/</vt:lpwstr>
      </vt:variant>
      <vt:variant>
        <vt:lpwstr/>
      </vt:variant>
      <vt:variant>
        <vt:i4>7012409</vt:i4>
      </vt:variant>
      <vt:variant>
        <vt:i4>24</vt:i4>
      </vt:variant>
      <vt:variant>
        <vt:i4>0</vt:i4>
      </vt:variant>
      <vt:variant>
        <vt:i4>5</vt:i4>
      </vt:variant>
      <vt:variant>
        <vt:lpwstr>https://www.digitalhome.ca/threads/bell-now-charging-for-paper-bill.93132/</vt:lpwstr>
      </vt:variant>
      <vt:variant>
        <vt:lpwstr/>
      </vt:variant>
      <vt:variant>
        <vt:i4>8323093</vt:i4>
      </vt:variant>
      <vt:variant>
        <vt:i4>21</vt:i4>
      </vt:variant>
      <vt:variant>
        <vt:i4>0</vt:i4>
      </vt:variant>
      <vt:variant>
        <vt:i4>5</vt:i4>
      </vt:variant>
      <vt:variant>
        <vt:lpwstr>https://en.wikipedia.org/wiki/Cable_Television_Standards_Council</vt:lpwstr>
      </vt:variant>
      <vt:variant>
        <vt:lpwstr/>
      </vt:variant>
      <vt:variant>
        <vt:i4>5963859</vt:i4>
      </vt:variant>
      <vt:variant>
        <vt:i4>18</vt:i4>
      </vt:variant>
      <vt:variant>
        <vt:i4>0</vt:i4>
      </vt:variant>
      <vt:variant>
        <vt:i4>5</vt:i4>
      </vt:variant>
      <vt:variant>
        <vt:lpwstr>https://crtc.gc.ca/eng/archive/2002/pb2002-7.htm</vt:lpwstr>
      </vt:variant>
      <vt:variant>
        <vt:lpwstr/>
      </vt:variant>
      <vt:variant>
        <vt:i4>3145849</vt:i4>
      </vt:variant>
      <vt:variant>
        <vt:i4>15</vt:i4>
      </vt:variant>
      <vt:variant>
        <vt:i4>0</vt:i4>
      </vt:variant>
      <vt:variant>
        <vt:i4>5</vt:i4>
      </vt:variant>
      <vt:variant>
        <vt:lpwstr>https://crtc.gc.ca/eng/archive/2009/2009-430.htm</vt:lpwstr>
      </vt:variant>
      <vt:variant>
        <vt:lpwstr>b11</vt:lpwstr>
      </vt:variant>
      <vt:variant>
        <vt:i4>3866727</vt:i4>
      </vt:variant>
      <vt:variant>
        <vt:i4>12</vt:i4>
      </vt:variant>
      <vt:variant>
        <vt:i4>0</vt:i4>
      </vt:variant>
      <vt:variant>
        <vt:i4>5</vt:i4>
      </vt:variant>
      <vt:variant>
        <vt:lpwstr>https://crtc.gc.ca/eng/archive/1996/pb96-60.htm</vt:lpwstr>
      </vt:variant>
      <vt:variant>
        <vt:lpwstr/>
      </vt:variant>
      <vt:variant>
        <vt:i4>3801194</vt:i4>
      </vt:variant>
      <vt:variant>
        <vt:i4>9</vt:i4>
      </vt:variant>
      <vt:variant>
        <vt:i4>0</vt:i4>
      </vt:variant>
      <vt:variant>
        <vt:i4>5</vt:i4>
      </vt:variant>
      <vt:variant>
        <vt:lpwstr>https://crtc.gc.ca/eng/archive/1992/pb92-39.htm</vt:lpwstr>
      </vt:variant>
      <vt:variant>
        <vt:lpwstr/>
      </vt:variant>
      <vt:variant>
        <vt:i4>3866721</vt:i4>
      </vt:variant>
      <vt:variant>
        <vt:i4>6</vt:i4>
      </vt:variant>
      <vt:variant>
        <vt:i4>0</vt:i4>
      </vt:variant>
      <vt:variant>
        <vt:i4>5</vt:i4>
      </vt:variant>
      <vt:variant>
        <vt:lpwstr>https://crtc.gc.ca/eng/archive/1992/PB92-22.htm</vt:lpwstr>
      </vt:variant>
      <vt:variant>
        <vt:lpwstr/>
      </vt:variant>
      <vt:variant>
        <vt:i4>3801194</vt:i4>
      </vt:variant>
      <vt:variant>
        <vt:i4>3</vt:i4>
      </vt:variant>
      <vt:variant>
        <vt:i4>0</vt:i4>
      </vt:variant>
      <vt:variant>
        <vt:i4>5</vt:i4>
      </vt:variant>
      <vt:variant>
        <vt:lpwstr>https://crtc.gc.ca/eng/archive/1992/pb92-39.htm</vt:lpwstr>
      </vt:variant>
      <vt:variant>
        <vt:lpwstr/>
      </vt:variant>
      <vt:variant>
        <vt:i4>4063330</vt:i4>
      </vt:variant>
      <vt:variant>
        <vt:i4>0</vt:i4>
      </vt:variant>
      <vt:variant>
        <vt:i4>0</vt:i4>
      </vt:variant>
      <vt:variant>
        <vt:i4>5</vt:i4>
      </vt:variant>
      <vt:variant>
        <vt:lpwstr>https://crtc.gc.ca/eng/archive/1990/pb90-53.htm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Owner</dc:creator>
  <cp:keywords/>
  <dc:description/>
  <cp:lastModifiedBy>Monica Auer</cp:lastModifiedBy>
  <cp:revision>3</cp:revision>
  <cp:lastPrinted>2020-10-19T21:55:00Z</cp:lastPrinted>
  <dcterms:created xsi:type="dcterms:W3CDTF">2020-10-19T21:55:00Z</dcterms:created>
  <dcterms:modified xsi:type="dcterms:W3CDTF">2020-10-20T13:56:00Z</dcterms:modified>
</cp:coreProperties>
</file>