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44BE" w14:textId="606C698B" w:rsidR="00785E61" w:rsidRPr="00E93E6D" w:rsidRDefault="004C7512">
      <w:pPr>
        <w:rPr>
          <w:b/>
          <w:bCs/>
        </w:rPr>
      </w:pPr>
      <w:r w:rsidRPr="00E93E6D">
        <w:rPr>
          <w:b/>
          <w:bCs/>
        </w:rPr>
        <w:t xml:space="preserve">The CRTC and </w:t>
      </w:r>
      <w:r w:rsidR="005C7443">
        <w:rPr>
          <w:b/>
          <w:bCs/>
        </w:rPr>
        <w:t>21</w:t>
      </w:r>
      <w:r w:rsidR="005C7443" w:rsidRPr="005C7443">
        <w:rPr>
          <w:b/>
          <w:bCs/>
          <w:vertAlign w:val="superscript"/>
        </w:rPr>
        <w:t>st</w:t>
      </w:r>
      <w:r w:rsidR="005C7443">
        <w:rPr>
          <w:b/>
          <w:bCs/>
        </w:rPr>
        <w:t xml:space="preserve"> century expectations of </w:t>
      </w:r>
      <w:r w:rsidRPr="00E93E6D">
        <w:rPr>
          <w:b/>
          <w:bCs/>
        </w:rPr>
        <w:t>openness, transparency and accountability</w:t>
      </w:r>
    </w:p>
    <w:p w14:paraId="4D6AF18B" w14:textId="554D5256" w:rsidR="00F83CA4" w:rsidRDefault="00F83CA4">
      <w:r>
        <w:rPr>
          <w:b/>
          <w:bCs/>
          <w:i/>
          <w:iCs/>
        </w:rPr>
        <w:t xml:space="preserve">1.  </w:t>
      </w:r>
      <w:r w:rsidR="008A5E6E" w:rsidRPr="00F83CA4">
        <w:rPr>
          <w:b/>
          <w:bCs/>
          <w:i/>
          <w:iCs/>
        </w:rPr>
        <w:t>Openness</w:t>
      </w:r>
      <w:r w:rsidR="00C535DE" w:rsidRPr="00F83CA4">
        <w:rPr>
          <w:b/>
          <w:bCs/>
          <w:i/>
          <w:iCs/>
        </w:rPr>
        <w:t xml:space="preserve"> means not hiding applications from public view</w:t>
      </w:r>
      <w:r w:rsidR="008A5E6E">
        <w:t xml:space="preserve"> </w:t>
      </w:r>
    </w:p>
    <w:p w14:paraId="65B30AFB" w14:textId="6CE94E3A" w:rsidR="004C7512" w:rsidRDefault="004C7512">
      <w:r>
        <w:t>1 March 2023</w:t>
      </w:r>
    </w:p>
    <w:p w14:paraId="6844D411" w14:textId="799887D0" w:rsidR="00463CBB" w:rsidRDefault="00463CBB">
      <w:r>
        <w:t xml:space="preserve">Parliament established what is now the Canadian Radio-television and Telecommunications Commission or CRTC nearly 55 years ago.  Often described as a quasi-judicial agency of the federal government, the CRTC considers and makes hundreds of decisions every year about a wide range of </w:t>
      </w:r>
      <w:r w:rsidR="00145746">
        <w:t>issues involving broadcasting and/or telecommunications</w:t>
      </w:r>
      <w:r>
        <w:t xml:space="preserve">. On </w:t>
      </w:r>
      <w:r w:rsidR="00B7562A">
        <w:t xml:space="preserve">January 6, 2023 Vicky Eatrides began a five-year term as the </w:t>
      </w:r>
      <w:r w:rsidR="00145746">
        <w:t xml:space="preserve">new </w:t>
      </w:r>
      <w:r w:rsidR="00B7562A">
        <w:t>Chairperson of the CRTC.</w:t>
      </w:r>
      <w:r w:rsidR="00B7562A">
        <w:rPr>
          <w:rStyle w:val="FootnoteReference"/>
        </w:rPr>
        <w:footnoteReference w:id="1"/>
      </w:r>
      <w:r w:rsidR="00B7562A">
        <w:t xml:space="preserve">  </w:t>
      </w:r>
    </w:p>
    <w:p w14:paraId="6CA6188C" w14:textId="7D0F89FF" w:rsidR="004C7512" w:rsidRDefault="00145746">
      <w:r>
        <w:t>The</w:t>
      </w:r>
      <w:r w:rsidR="004C7512">
        <w:t xml:space="preserve"> Minister</w:t>
      </w:r>
      <w:r w:rsidR="004936AE">
        <w:t xml:space="preserve">s </w:t>
      </w:r>
      <w:r w:rsidR="004C7512">
        <w:t>of Canadian Heritage</w:t>
      </w:r>
      <w:r w:rsidR="004936AE">
        <w:t xml:space="preserve"> and Innovation, Science and Economic Development </w:t>
      </w:r>
      <w:r w:rsidR="004C7512">
        <w:t xml:space="preserve">wrote Chairperson Eatrides </w:t>
      </w:r>
      <w:r w:rsidR="00E93E6D">
        <w:t xml:space="preserve">last month </w:t>
      </w:r>
      <w:r w:rsidR="004C7512">
        <w:t xml:space="preserve">to congratulate her on her </w:t>
      </w:r>
      <w:r w:rsidR="004936AE">
        <w:t>appointment</w:t>
      </w:r>
      <w:r w:rsidR="004C7512">
        <w:t xml:space="preserve"> and </w:t>
      </w:r>
      <w:r>
        <w:t xml:space="preserve">also </w:t>
      </w:r>
      <w:r w:rsidR="004C7512">
        <w:t xml:space="preserve">to </w:t>
      </w:r>
      <w:r w:rsidR="00E93E6D">
        <w:t>“inform her of the Government’s vision and priorities with respect to Canada’s broadcasting and telecommunications system”.</w:t>
      </w:r>
      <w:r w:rsidR="00E93E6D">
        <w:rPr>
          <w:rStyle w:val="FootnoteReference"/>
        </w:rPr>
        <w:footnoteReference w:id="2"/>
      </w:r>
      <w:r w:rsidR="00E93E6D">
        <w:t xml:space="preserve"> The Minister</w:t>
      </w:r>
      <w:r w:rsidR="004936AE">
        <w:t xml:space="preserve">s referred to “a perception among many that access to </w:t>
      </w:r>
      <w:r w:rsidR="001118E5">
        <w:t>CRTC processes is unequal”</w:t>
      </w:r>
      <w:r>
        <w:t xml:space="preserve"> for the </w:t>
      </w:r>
      <w:r w:rsidR="001118E5">
        <w:t>public</w:t>
      </w:r>
      <w:r>
        <w:t xml:space="preserve"> and civil-society organizations</w:t>
      </w:r>
      <w:r w:rsidR="001118E5">
        <w:t>.</w:t>
      </w:r>
      <w:r w:rsidR="004C7512">
        <w:t xml:space="preserve"> </w:t>
      </w:r>
      <w:r>
        <w:t>Among other things t</w:t>
      </w:r>
      <w:r w:rsidR="00DD15A7">
        <w:t>he</w:t>
      </w:r>
      <w:r>
        <w:t xml:space="preserve"> Ministers </w:t>
      </w:r>
      <w:r w:rsidR="00DD15A7">
        <w:t xml:space="preserve">expressed confidence in the new Chairperson’s </w:t>
      </w:r>
      <w:r w:rsidR="00BD6D89">
        <w:t xml:space="preserve">ability </w:t>
      </w:r>
      <w:r w:rsidR="00592898">
        <w:t xml:space="preserve">to see to the </w:t>
      </w:r>
      <w:r>
        <w:t>CRTC’s</w:t>
      </w:r>
      <w:r w:rsidR="00592898">
        <w:t xml:space="preserve"> “to being more open …”. </w:t>
      </w:r>
    </w:p>
    <w:p w14:paraId="177C09AE" w14:textId="2C58FA0E" w:rsidR="00592898" w:rsidRDefault="00592898">
      <w:r>
        <w:t>The principle of openness is said to allow individuals to participate in the way that decisions affecting them are made.</w:t>
      </w:r>
      <w:r>
        <w:rPr>
          <w:rStyle w:val="FootnoteReference"/>
        </w:rPr>
        <w:footnoteReference w:id="3"/>
      </w:r>
      <w:r>
        <w:t xml:space="preserve">  </w:t>
      </w:r>
      <w:r w:rsidR="00A4002F">
        <w:t>The Minister</w:t>
      </w:r>
      <w:r w:rsidR="00A4002F">
        <w:t xml:space="preserve">s’ letter </w:t>
      </w:r>
      <w:r w:rsidR="00A4002F">
        <w:t>said they “trust that interested parties, civil society, and the public can continue to count on the CRTC to help them understand the reasoning, evidence, and data underpinning its decisions.”</w:t>
      </w:r>
    </w:p>
    <w:p w14:paraId="171E0C41" w14:textId="77777777" w:rsidR="00847015" w:rsidRDefault="00DD15A7">
      <w:r>
        <w:t xml:space="preserve">One way </w:t>
      </w:r>
      <w:r w:rsidR="00A4002F">
        <w:t xml:space="preserve">that Canadians </w:t>
      </w:r>
      <w:r w:rsidR="00847015">
        <w:t xml:space="preserve">can </w:t>
      </w:r>
      <w:r w:rsidR="00A4002F">
        <w:t xml:space="preserve">understand what is happening at the CRTC is through the applications that </w:t>
      </w:r>
      <w:r w:rsidR="00847015">
        <w:t>people, companies or civil-society organizations submit to the Commission and that the CRTC p</w:t>
      </w:r>
      <w:r w:rsidR="00A4002F">
        <w:t>ublishes on its website.  I</w:t>
      </w:r>
      <w:r w:rsidR="00137B77">
        <w:t xml:space="preserve">n fact, the </w:t>
      </w:r>
      <w:hyperlink r:id="rId6" w:history="1">
        <w:r w:rsidR="00A4002F" w:rsidRPr="00A4002F">
          <w:rPr>
            <w:rStyle w:val="Hyperlink"/>
            <w:i/>
            <w:iCs/>
          </w:rPr>
          <w:t>Rules of Practice and Procedure</w:t>
        </w:r>
      </w:hyperlink>
      <w:r w:rsidR="00A4002F">
        <w:rPr>
          <w:i/>
          <w:iCs/>
        </w:rPr>
        <w:t xml:space="preserve"> </w:t>
      </w:r>
      <w:r w:rsidR="00847015">
        <w:t>written and enacted by the CRTC s</w:t>
      </w:r>
      <w:r w:rsidR="00137B77">
        <w:t xml:space="preserve">ay that “[t]he Commission must post on its website all applications that comply” with the </w:t>
      </w:r>
      <w:r w:rsidR="00137B77">
        <w:rPr>
          <w:i/>
          <w:iCs/>
        </w:rPr>
        <w:t>Rules</w:t>
      </w:r>
      <w:r w:rsidR="00137B77">
        <w:t>’ requirements for service, form and content (section 23).</w:t>
      </w:r>
      <w:r w:rsidR="008725C9">
        <w:t xml:space="preserve">  </w:t>
      </w:r>
    </w:p>
    <w:p w14:paraId="5DA8D633" w14:textId="7693973E" w:rsidR="001118E5" w:rsidRDefault="00826FD1">
      <w:r>
        <w:t>Interested parties can visit the “</w:t>
      </w:r>
      <w:hyperlink r:id="rId7" w:history="1">
        <w:r w:rsidRPr="00826FD1">
          <w:rPr>
            <w:rStyle w:val="Hyperlink"/>
          </w:rPr>
          <w:t>All Proceedings Open for Comment</w:t>
        </w:r>
      </w:hyperlink>
      <w:r>
        <w:t xml:space="preserve">” page to review current broadcasting applications, and </w:t>
      </w:r>
      <w:r w:rsidR="00847015">
        <w:t xml:space="preserve">a similar page to review </w:t>
      </w:r>
      <w:hyperlink r:id="rId8" w:history="1">
        <w:r w:rsidR="00847015" w:rsidRPr="00847015">
          <w:rPr>
            <w:rStyle w:val="Hyperlink"/>
          </w:rPr>
          <w:t>current telecommunications applications</w:t>
        </w:r>
      </w:hyperlink>
      <w:r w:rsidR="00847015">
        <w:t xml:space="preserve">. </w:t>
      </w:r>
    </w:p>
    <w:p w14:paraId="2EF34DA1" w14:textId="2A85F8F8" w:rsidR="008725C9" w:rsidRPr="00EA47F7" w:rsidRDefault="00137B77">
      <w:r>
        <w:t>It therefore came as something of a surprise to FRPC to learn that the CRTC</w:t>
      </w:r>
      <w:r w:rsidR="00847015">
        <w:t xml:space="preserve"> does not actually publish all applications it receives.  </w:t>
      </w:r>
      <w:r w:rsidR="008725C9" w:rsidRPr="008725C9">
        <w:t>In 2018</w:t>
      </w:r>
      <w:r w:rsidR="00847015">
        <w:t xml:space="preserve">, for example, </w:t>
      </w:r>
      <w:r w:rsidR="008725C9" w:rsidRPr="008725C9">
        <w:t xml:space="preserve">the Syndicat canadien de la fonction publique (SCFP) filed a </w:t>
      </w:r>
      <w:hyperlink r:id="rId9" w:history="1">
        <w:r w:rsidR="008725C9" w:rsidRPr="008725C9">
          <w:rPr>
            <w:rStyle w:val="Hyperlink"/>
          </w:rPr>
          <w:t>Part 1 application asking the CRTC to review its Digital Media Exemption Order (DMEO)</w:t>
        </w:r>
      </w:hyperlink>
      <w:r w:rsidR="008725C9" w:rsidRPr="008725C9">
        <w:t xml:space="preserve">.  </w:t>
      </w:r>
      <w:r w:rsidR="00EA47F7">
        <w:t xml:space="preserve">Neither this application, nor the second Part 1 application by SCFP asking the CRTC to publish the first application as required by the CRTC’s </w:t>
      </w:r>
      <w:r w:rsidR="00EA47F7">
        <w:rPr>
          <w:i/>
          <w:iCs/>
        </w:rPr>
        <w:t xml:space="preserve">Rules </w:t>
      </w:r>
      <w:r w:rsidR="00EA47F7">
        <w:t xml:space="preserve">was published by the CRTC.  </w:t>
      </w:r>
    </w:p>
    <w:p w14:paraId="38C297C7" w14:textId="77777777" w:rsidR="00EA47F7" w:rsidRDefault="008725C9">
      <w:r w:rsidRPr="008725C9">
        <w:lastRenderedPageBreak/>
        <w:t xml:space="preserve">When </w:t>
      </w:r>
      <w:r w:rsidR="00847015">
        <w:t xml:space="preserve">FRPC </w:t>
      </w:r>
      <w:r w:rsidRPr="008725C9">
        <w:t xml:space="preserve">asked about such ‘missing’ applications under the </w:t>
      </w:r>
      <w:r w:rsidRPr="008725C9">
        <w:rPr>
          <w:i/>
          <w:iCs/>
        </w:rPr>
        <w:t>Access to Information Act</w:t>
      </w:r>
      <w:r w:rsidRPr="008725C9">
        <w:t>, the CRTC disclosed another 64 applications that it had received without publishing</w:t>
      </w:r>
      <w:r w:rsidR="000A185D">
        <w:t xml:space="preserve"> (see FRPC’ </w:t>
      </w:r>
      <w:hyperlink r:id="rId10" w:history="1">
        <w:r w:rsidR="000A185D" w:rsidRPr="00913D2C">
          <w:rPr>
            <w:rStyle w:val="Hyperlink"/>
          </w:rPr>
          <w:t>12 September 2022 submission</w:t>
        </w:r>
      </w:hyperlink>
      <w:r w:rsidR="000A185D">
        <w:t xml:space="preserve"> to the Senate Standing Committee on Transportation, Appendix 4)</w:t>
      </w:r>
      <w:r w:rsidR="00847015">
        <w:t xml:space="preserve">.  </w:t>
      </w:r>
    </w:p>
    <w:p w14:paraId="6B0C098F" w14:textId="6A870A94" w:rsidR="00137B77" w:rsidRDefault="00847015">
      <w:r>
        <w:t xml:space="preserve">Yet </w:t>
      </w:r>
      <w:r w:rsidR="008725C9" w:rsidRPr="008725C9">
        <w:t>this list did not include SCFP’s two Part 1 application</w:t>
      </w:r>
      <w:r w:rsidR="00BD6D89">
        <w:t>s or, indeed, any other applications from guilds, associations or civil-society organization</w:t>
      </w:r>
      <w:r w:rsidR="00EA47F7">
        <w:t>s</w:t>
      </w:r>
      <w:r w:rsidR="00BD6D89">
        <w:t>.  In 2022</w:t>
      </w:r>
      <w:r w:rsidR="00EA47F7">
        <w:t>, for instance,</w:t>
      </w:r>
      <w:r w:rsidR="00BD6D89">
        <w:t xml:space="preserve"> the CRTC </w:t>
      </w:r>
      <w:r w:rsidR="00B12BA5">
        <w:t xml:space="preserve">also decided not to publish </w:t>
      </w:r>
      <w:hyperlink r:id="rId11" w:history="1">
        <w:r w:rsidR="00BD6D89" w:rsidRPr="00B12BA5">
          <w:rPr>
            <w:rStyle w:val="Hyperlink"/>
          </w:rPr>
          <w:t>an application filed jointly by the Public Interest Advocacy Centre (PIAC) and FRPC</w:t>
        </w:r>
      </w:hyperlink>
      <w:r w:rsidR="00BD6D89">
        <w:t xml:space="preserve"> regarding the financial instability of the </w:t>
      </w:r>
      <w:hyperlink r:id="rId12" w:history="1">
        <w:r w:rsidR="00BD6D89" w:rsidRPr="00B12BA5">
          <w:rPr>
            <w:rStyle w:val="Hyperlink"/>
          </w:rPr>
          <w:t>Broadcasting Participation Fund</w:t>
        </w:r>
      </w:hyperlink>
      <w:r w:rsidR="00BD6D89">
        <w:t xml:space="preserve"> (BPF-FPR)</w:t>
      </w:r>
      <w:r w:rsidR="00B12BA5">
        <w:t>.</w:t>
      </w:r>
    </w:p>
    <w:p w14:paraId="3F5ACCF8" w14:textId="0EED5F2E" w:rsidR="00F83CA4" w:rsidRPr="00F83CA4" w:rsidRDefault="00F83CA4">
      <w:pPr>
        <w:rPr>
          <w:b/>
          <w:bCs/>
        </w:rPr>
      </w:pPr>
      <w:r w:rsidRPr="00F83CA4">
        <w:rPr>
          <w:b/>
          <w:bCs/>
        </w:rPr>
        <w:t>Recommendation</w:t>
      </w:r>
    </w:p>
    <w:p w14:paraId="259A36D1" w14:textId="326FF02C" w:rsidR="000A185D" w:rsidRDefault="00102EF6">
      <w:r>
        <w:t>There is a</w:t>
      </w:r>
      <w:r w:rsidR="00B12BA5">
        <w:t xml:space="preserve"> simple way for the CRTC to regain </w:t>
      </w:r>
      <w:r>
        <w:t xml:space="preserve">some of the public’s </w:t>
      </w:r>
      <w:r w:rsidR="00B12BA5">
        <w:t>trust in the integrity of its processe</w:t>
      </w:r>
      <w:r>
        <w:t xml:space="preserve">s which </w:t>
      </w:r>
      <w:r w:rsidR="00C535DE">
        <w:t>could be implemented</w:t>
      </w:r>
      <w:r>
        <w:t xml:space="preserve"> under both the current (1991) </w:t>
      </w:r>
      <w:r w:rsidRPr="00FC4964">
        <w:rPr>
          <w:i/>
          <w:iCs/>
        </w:rPr>
        <w:t>Broadcasting Act</w:t>
      </w:r>
      <w:r>
        <w:t xml:space="preserve"> and the new broadcasting legislation proposed by the </w:t>
      </w:r>
      <w:r>
        <w:rPr>
          <w:i/>
          <w:iCs/>
        </w:rPr>
        <w:t xml:space="preserve">Online Streaming </w:t>
      </w:r>
      <w:r w:rsidRPr="00102EF6">
        <w:t>Act</w:t>
      </w:r>
      <w:r>
        <w:t xml:space="preserve">, aka Bill C-11.  The </w:t>
      </w:r>
      <w:r w:rsidR="00C535DE">
        <w:t>Commission</w:t>
      </w:r>
      <w:r>
        <w:t xml:space="preserve"> could publish all </w:t>
      </w:r>
      <w:r w:rsidR="00B12BA5">
        <w:t xml:space="preserve">applications it receives </w:t>
      </w:r>
      <w:r>
        <w:t xml:space="preserve">which comply with its requirements for form and content, </w:t>
      </w:r>
      <w:r w:rsidR="00334142">
        <w:t>when it receives them – and</w:t>
      </w:r>
      <w:r>
        <w:t xml:space="preserve">, once it decides whether to grant or deny consideration to the applications, to </w:t>
      </w:r>
      <w:r w:rsidR="00C535DE">
        <w:t xml:space="preserve">post such decisions alongside the applications. </w:t>
      </w:r>
      <w:r>
        <w:t xml:space="preserve"> </w:t>
      </w:r>
      <w:r w:rsidR="00334142">
        <w:t xml:space="preserve"> </w:t>
      </w:r>
      <w:r w:rsidR="00B12BA5">
        <w:t xml:space="preserve">  </w:t>
      </w:r>
    </w:p>
    <w:p w14:paraId="0B5D89ED" w14:textId="3A19E159" w:rsidR="00F83CA4" w:rsidRDefault="00F83CA4">
      <w:r>
        <w:t xml:space="preserve">Maintaining the </w:t>
      </w:r>
      <w:r w:rsidRPr="00F83CA4">
        <w:rPr>
          <w:i/>
          <w:iCs/>
        </w:rPr>
        <w:t>status quo</w:t>
      </w:r>
      <w:r>
        <w:t xml:space="preserve"> – hiding applications from public view and from the scope of the </w:t>
      </w:r>
      <w:r>
        <w:rPr>
          <w:i/>
          <w:iCs/>
        </w:rPr>
        <w:t xml:space="preserve">Access to Information Act </w:t>
      </w:r>
      <w:r>
        <w:t>– would surely contradict the concern raised by the Ministers to whom the CRTC reports.</w:t>
      </w:r>
    </w:p>
    <w:p w14:paraId="466A2232" w14:textId="241EE16B" w:rsidR="005C7443" w:rsidRPr="00F83CA4" w:rsidRDefault="005C7443">
      <w:r>
        <w:t xml:space="preserve">~ Forum for Research and Policy in Communications (FRPC) </w:t>
      </w:r>
    </w:p>
    <w:sectPr w:rsidR="005C7443" w:rsidRPr="00F83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8AB6" w14:textId="77777777" w:rsidR="00F855CA" w:rsidRDefault="00F855CA" w:rsidP="00E93E6D">
      <w:pPr>
        <w:spacing w:after="0" w:line="240" w:lineRule="auto"/>
      </w:pPr>
      <w:r>
        <w:separator/>
      </w:r>
    </w:p>
  </w:endnote>
  <w:endnote w:type="continuationSeparator" w:id="0">
    <w:p w14:paraId="125C3C71" w14:textId="77777777" w:rsidR="00F855CA" w:rsidRDefault="00F855CA" w:rsidP="00E9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FB2F" w14:textId="77777777" w:rsidR="00F855CA" w:rsidRDefault="00F855CA" w:rsidP="00E93E6D">
      <w:pPr>
        <w:spacing w:after="0" w:line="240" w:lineRule="auto"/>
      </w:pPr>
      <w:r>
        <w:separator/>
      </w:r>
    </w:p>
  </w:footnote>
  <w:footnote w:type="continuationSeparator" w:id="0">
    <w:p w14:paraId="30EF8C87" w14:textId="77777777" w:rsidR="00F855CA" w:rsidRDefault="00F855CA" w:rsidP="00E93E6D">
      <w:pPr>
        <w:spacing w:after="0" w:line="240" w:lineRule="auto"/>
      </w:pPr>
      <w:r>
        <w:continuationSeparator/>
      </w:r>
    </w:p>
  </w:footnote>
  <w:footnote w:id="1">
    <w:p w14:paraId="19A99685" w14:textId="6F0CD2A8" w:rsidR="00B7562A" w:rsidRDefault="00B756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CRTC, ”</w:t>
      </w:r>
      <w:hyperlink r:id="rId1" w:anchor="presidenteBio" w:history="1">
        <w:r w:rsidRPr="00B7562A">
          <w:rPr>
            <w:rStyle w:val="Hyperlink"/>
          </w:rPr>
          <w:t>Meet Vicky</w:t>
        </w:r>
      </w:hyperlink>
      <w:r>
        <w:t xml:space="preserve">”(accessed 1 March 2023). </w:t>
      </w:r>
    </w:p>
  </w:footnote>
  <w:footnote w:id="2">
    <w:p w14:paraId="20B1758F" w14:textId="262A3707" w:rsidR="00E93E6D" w:rsidRDefault="00E93E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Department of Canadian Heritage, “</w:t>
      </w:r>
      <w:hyperlink r:id="rId2" w:history="1">
        <w:r w:rsidRPr="00E93E6D">
          <w:rPr>
            <w:rStyle w:val="Hyperlink"/>
          </w:rPr>
          <w:t>New CRTC Chair’s Leadership Will Help Shape the Future of Canada’s Communication System</w:t>
        </w:r>
      </w:hyperlink>
      <w:r>
        <w:t>”, News release (Gatineau, 6 February 2023)</w:t>
      </w:r>
    </w:p>
  </w:footnote>
  <w:footnote w:id="3">
    <w:p w14:paraId="51971E3A" w14:textId="6BB73E62" w:rsidR="00592898" w:rsidRDefault="00592898" w:rsidP="005928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92898">
        <w:t xml:space="preserve">Bugaric, Bojan, “OPENNESS AND TRANSPARENCY IN PUBLIC ADMINISTRATION: CHALLENGES FOR PUBLIC LAW,” Wisconsin International Law Journal, Vol. 22 (2012), No. 3, 483-521, </w:t>
      </w:r>
      <w:r>
        <w:t>at 487 “</w:t>
      </w:r>
      <w:r>
        <w:t>The principle of openness allows individuals, i.e. citizens, to</w:t>
      </w:r>
      <w:r>
        <w:t xml:space="preserve"> </w:t>
      </w:r>
      <w:r>
        <w:t>participate in the decision-making process. They can obtain all</w:t>
      </w:r>
      <w:r>
        <w:t xml:space="preserve"> </w:t>
      </w:r>
      <w:r>
        <w:t>public information on the work of the public administration and</w:t>
      </w:r>
      <w:r>
        <w:t xml:space="preserve"> </w:t>
      </w:r>
      <w:r>
        <w:t>participate in adopting its decisions.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12"/>
    <w:rsid w:val="00050D95"/>
    <w:rsid w:val="000A185D"/>
    <w:rsid w:val="00102EF6"/>
    <w:rsid w:val="001118E5"/>
    <w:rsid w:val="00137B77"/>
    <w:rsid w:val="00145746"/>
    <w:rsid w:val="00327170"/>
    <w:rsid w:val="00334142"/>
    <w:rsid w:val="00347760"/>
    <w:rsid w:val="00463CBB"/>
    <w:rsid w:val="004936AE"/>
    <w:rsid w:val="004C7512"/>
    <w:rsid w:val="0056602E"/>
    <w:rsid w:val="00592898"/>
    <w:rsid w:val="005C7443"/>
    <w:rsid w:val="006337D8"/>
    <w:rsid w:val="007424CB"/>
    <w:rsid w:val="007712FC"/>
    <w:rsid w:val="00785E61"/>
    <w:rsid w:val="00826FD1"/>
    <w:rsid w:val="00847015"/>
    <w:rsid w:val="008725C9"/>
    <w:rsid w:val="008A5E6E"/>
    <w:rsid w:val="00913D2C"/>
    <w:rsid w:val="00935370"/>
    <w:rsid w:val="00A3769E"/>
    <w:rsid w:val="00A4002F"/>
    <w:rsid w:val="00B12BA5"/>
    <w:rsid w:val="00B7562A"/>
    <w:rsid w:val="00BA0BB1"/>
    <w:rsid w:val="00BD4F45"/>
    <w:rsid w:val="00BD6D89"/>
    <w:rsid w:val="00C535DE"/>
    <w:rsid w:val="00CF1AB5"/>
    <w:rsid w:val="00D22A6C"/>
    <w:rsid w:val="00DD15A7"/>
    <w:rsid w:val="00E93E6D"/>
    <w:rsid w:val="00EA47F7"/>
    <w:rsid w:val="00F83CA4"/>
    <w:rsid w:val="00F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DFF5"/>
  <w15:chartTrackingRefBased/>
  <w15:docId w15:val="{40CEAD38-6BB2-49D1-8013-047269C6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E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3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crtc.gc.ca/instances-proceedings/Default-Defaut.aspx?S=O&amp;PA=T&amp;PT=A&amp;PST=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lications.crtc.gc.ca/instances-proceedings/Default-Defaut.aspx?S=O&amp;PA=B&amp;PT=A&amp;PST=A&amp;Lang=eng" TargetMode="External"/><Relationship Id="rId12" Type="http://schemas.openxmlformats.org/officeDocument/2006/relationships/hyperlink" Target="http://www.bpf-fpr.ca/en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s.justice.gc.ca/eng/regulations/SOR-2010-277/FullText.html" TargetMode="External"/><Relationship Id="rId11" Type="http://schemas.openxmlformats.org/officeDocument/2006/relationships/hyperlink" Target="https://frpc.net/research/piac-and-frpc-ask-the-crtc-to-stabilize-funding-for-the-broadcasting-participation-fund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rpc.net/wp-content/uploads/2022/10/FRPC-submission-12-Sept-2022-Formatting-fixed.docx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fp.qc.ca/wp-content/uploads/2018/03/2018-02-13_Demande_R%C3%A9examen_Exemp_MediaNum_CPSC_SCFP_CRTC2012-409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nada.ca/en/canadian-heritage/news/2023/02/new-crtc-chairs-leadership-will-help-shape-the-future-of-canadas-communication-system.html" TargetMode="External"/><Relationship Id="rId1" Type="http://schemas.openxmlformats.org/officeDocument/2006/relationships/hyperlink" Target="https://crtc.gc.ca/eng/acrtc/org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Auer</dc:creator>
  <cp:keywords/>
  <dc:description/>
  <cp:lastModifiedBy>Monica Auer</cp:lastModifiedBy>
  <cp:revision>2</cp:revision>
  <dcterms:created xsi:type="dcterms:W3CDTF">2023-03-01T19:45:00Z</dcterms:created>
  <dcterms:modified xsi:type="dcterms:W3CDTF">2023-03-01T22:23:00Z</dcterms:modified>
</cp:coreProperties>
</file>